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18.png" ContentType="image/png"/>
  <Override PartName="/word/media/rId83.png" ContentType="image/png"/>
  <Override PartName="/word/media/rId33.png" ContentType="image/png"/>
  <Override PartName="/word/media/rId28.png" ContentType="image/png"/>
  <Override PartName="/word/media/rId63.png" ContentType="image/png"/>
  <Override PartName="/word/media/rId48.png" ContentType="image/png"/>
  <Override PartName="/word/media/rId39.png" ContentType="image/png"/>
  <Override PartName="/word/media/rId68.png" ContentType="image/png"/>
  <Override PartName="/word/media/rId58.png" ContentType="image/png"/>
  <Override PartName="/word/media/rId53.png" ContentType="image/png"/>
  <Override PartName="/word/media/rId78.png" ContentType="image/png"/>
  <Override PartName="/word/media/rId7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 Decade of Decline: Confronting Auckland’s Dog Control Crisis Using Auckland Council Data</w:t>
      </w:r>
    </w:p>
    <w:p>
      <w:pPr>
        <w:pStyle w:val="Author"/>
      </w:pPr>
      <w:r>
        <w:t xml:space="preserve">Thomas E. Saunders</w:t>
      </w:r>
    </w:p>
    <w:p>
      <w:pPr>
        <w:pStyle w:val="Date"/>
      </w:pPr>
      <w:r>
        <w:t xml:space="preserve">2026-04-13</w:t>
      </w:r>
    </w:p>
    <w:p>
      <w:pPr>
        <w:pStyle w:val="AbstractTitle"/>
      </w:pPr>
      <w:r>
        <w:t xml:space="preserve">Abstract</w:t>
      </w:r>
    </w:p>
    <w:p>
      <w:pPr>
        <w:pStyle w:val="Abstract"/>
      </w:pPr>
      <w:r>
        <w:t xml:space="preserve">A spate of fatal dog attacks have focussed attention on New Zealand’s growing problem with roaming and aggressive dogs. Under the Dog Control Act 1996, Territorial Authorities are resposible for managing the harms associated with dogs in communities. Auckland Council’s Animal Management division publishes selected high-level statistics related to it’s dog control practices, but an examination of the underlying raw data in combination with data from it’s annual reports reveals troubling trends for some of the most important metrics. The rate of attacks, impounds, and euthanasia of impounded dogs are all increasing due to an explosion in the dog population and a stretched shelter system. Attack rates are highest in South Auckland, and several breeds are over-represented in negative statistics.</w:t>
      </w:r>
    </w:p>
    <w:bookmarkStart w:id="9" w:name="key-points"/>
    <w:p>
      <w:pPr>
        <w:pStyle w:val="Heading2"/>
      </w:pPr>
      <w:r>
        <w:t xml:space="preserve">1 Key Points</w:t>
      </w:r>
    </w:p>
    <w:p>
      <w:pPr>
        <w:pStyle w:val="FirstParagraph"/>
      </w:pPr>
      <w:r>
        <w:t xml:space="preserve">Over the last 10 years:</w:t>
      </w:r>
    </w:p>
    <w:p>
      <w:pPr>
        <w:pStyle w:val="Compact"/>
        <w:numPr>
          <w:ilvl w:val="0"/>
          <w:numId w:val="1001"/>
        </w:numPr>
      </w:pPr>
      <w:r>
        <w:t xml:space="preserve">Auckland’s dog population has increased by 14.5%.</w:t>
      </w:r>
    </w:p>
    <w:p>
      <w:pPr>
        <w:pStyle w:val="Compact"/>
        <w:numPr>
          <w:ilvl w:val="0"/>
          <w:numId w:val="1001"/>
        </w:numPr>
      </w:pPr>
      <w:r>
        <w:t xml:space="preserve">Registration and desexing rates have fallen.</w:t>
      </w:r>
    </w:p>
    <w:p>
      <w:pPr>
        <w:pStyle w:val="Compact"/>
        <w:numPr>
          <w:ilvl w:val="0"/>
          <w:numId w:val="1001"/>
        </w:numPr>
      </w:pPr>
      <w:r>
        <w:t xml:space="preserve">The proportion of</w:t>
      </w:r>
      <w:r>
        <w:t xml:space="preserve"> </w:t>
      </w:r>
      <w:r>
        <w:t xml:space="preserve">‘menacing’</w:t>
      </w:r>
      <w:r>
        <w:t xml:space="preserve"> </w:t>
      </w:r>
      <w:r>
        <w:t xml:space="preserve">dogs has doubled to 1 in 20.</w:t>
      </w:r>
    </w:p>
    <w:p>
      <w:pPr>
        <w:pStyle w:val="Compact"/>
        <w:numPr>
          <w:ilvl w:val="0"/>
          <w:numId w:val="1001"/>
        </w:numPr>
      </w:pPr>
      <w:r>
        <w:t xml:space="preserve">Dog attack rates have almost doubled to 10 attacks for every 1,000 dogs.</w:t>
      </w:r>
    </w:p>
    <w:p>
      <w:pPr>
        <w:pStyle w:val="Compact"/>
        <w:numPr>
          <w:ilvl w:val="0"/>
          <w:numId w:val="1001"/>
        </w:numPr>
      </w:pPr>
      <w:r>
        <w:t xml:space="preserve">Over half of impounded dogs are euthanised due to their temperament and full shelters.</w:t>
      </w:r>
    </w:p>
    <w:p>
      <w:pPr>
        <w:pStyle w:val="Compact"/>
        <w:numPr>
          <w:ilvl w:val="0"/>
          <w:numId w:val="1001"/>
        </w:numPr>
      </w:pPr>
      <w:r>
        <w:t xml:space="preserve">Pit Bull type breeds are over-represented in attacks and impounds.</w:t>
      </w:r>
    </w:p>
    <w:p>
      <w:pPr>
        <w:pStyle w:val="Compact"/>
        <w:numPr>
          <w:ilvl w:val="0"/>
          <w:numId w:val="1001"/>
        </w:numPr>
      </w:pPr>
      <w:r>
        <w:t xml:space="preserve">South Auckland has lower rates of registration and desexing, and higher rates of attacks and impounds.</w:t>
      </w:r>
    </w:p>
    <w:bookmarkEnd w:id="9"/>
    <w:bookmarkStart w:id="12" w:name="introduction"/>
    <w:p>
      <w:pPr>
        <w:pStyle w:val="Heading2"/>
      </w:pPr>
      <w:r>
        <w:t xml:space="preserve">2 Introduction</w:t>
      </w:r>
    </w:p>
    <w:p>
      <w:pPr>
        <w:pStyle w:val="FirstParagraph"/>
      </w:pPr>
      <w:r>
        <w:t xml:space="preserve">Four fatal dog attacks in New Zealand in the last four years have highlighted the increase in roaming and aggressive dogs in communities across the country.</w:t>
      </w:r>
    </w:p>
    <w:p>
      <w:pPr>
        <w:pStyle w:val="Compact"/>
        <w:numPr>
          <w:ilvl w:val="0"/>
          <w:numId w:val="1002"/>
        </w:numPr>
      </w:pPr>
      <w:r>
        <w:t xml:space="preserve">Neville Thomson was killed in Katikati in August 2022 after being mauled by a pack of dogs owned by Abel Wira, whose property Thomson was staying at</w:t>
      </w:r>
      <w:r>
        <w:rPr>
          <w:vertAlign w:val="superscript"/>
        </w:rPr>
        <w:t xml:space="preserve">1</w:t>
      </w:r>
      <w:r>
        <w:t xml:space="preserve">.</w:t>
      </w:r>
    </w:p>
    <w:p>
      <w:pPr>
        <w:pStyle w:val="Compact"/>
        <w:numPr>
          <w:ilvl w:val="0"/>
          <w:numId w:val="1002"/>
        </w:numPr>
      </w:pPr>
      <w:r>
        <w:t xml:space="preserve">Elizabeth Whittaker was killed in October 2023 in Moerewa, Northland, in her backyard by dogs owned by another resident at the property</w:t>
      </w:r>
      <w:r>
        <w:rPr>
          <w:vertAlign w:val="superscript"/>
        </w:rPr>
        <w:t xml:space="preserve">2</w:t>
      </w:r>
      <w:r>
        <w:t xml:space="preserve">.</w:t>
      </w:r>
    </w:p>
    <w:p>
      <w:pPr>
        <w:pStyle w:val="Compact"/>
        <w:numPr>
          <w:ilvl w:val="0"/>
          <w:numId w:val="1002"/>
        </w:numPr>
      </w:pPr>
      <w:r>
        <w:t xml:space="preserve">Timothy Tu’uaki Rolleston-Bryan, a four-year-old boy, died in March 2025 following an attack on a Katikati property</w:t>
      </w:r>
      <w:r>
        <w:rPr>
          <w:vertAlign w:val="superscript"/>
        </w:rPr>
        <w:t xml:space="preserve">3</w:t>
      </w:r>
      <w:r>
        <w:t xml:space="preserve">.</w:t>
      </w:r>
    </w:p>
    <w:p>
      <w:pPr>
        <w:pStyle w:val="Compact"/>
        <w:numPr>
          <w:ilvl w:val="0"/>
          <w:numId w:val="1002"/>
        </w:numPr>
      </w:pPr>
      <w:r>
        <w:t xml:space="preserve">Mihiata Te Rore died following an attack by three dogs while visiting a property in Kaihu, Northland, in February 2026</w:t>
      </w:r>
      <w:r>
        <w:rPr>
          <w:vertAlign w:val="superscript"/>
        </w:rPr>
        <w:t xml:space="preserve">4</w:t>
      </w:r>
      <w:r>
        <w:t xml:space="preserve">.</w:t>
      </w:r>
    </w:p>
    <w:p>
      <w:pPr>
        <w:pStyle w:val="FirstParagraph"/>
      </w:pPr>
      <w:r>
        <w:t xml:space="preserve">Recent media reports have drawn attention to dog attacks on other animals: from packs of roaming dogs killing sheep and calves in Northland</w:t>
      </w:r>
      <w:r>
        <w:rPr>
          <w:vertAlign w:val="superscript"/>
        </w:rPr>
        <w:t xml:space="preserve">5</w:t>
      </w:r>
      <w:r>
        <w:t xml:space="preserve">, to the killing of dozens of pets in an Auckland suburb</w:t>
      </w:r>
      <w:r>
        <w:rPr>
          <w:vertAlign w:val="superscript"/>
        </w:rPr>
        <w:t xml:space="preserve">6</w:t>
      </w:r>
      <w:r>
        <w:t xml:space="preserve">. Blind Low Vision NZ is no longer placing guide dogs in certain South Auckland areas due to the high rates of dog attacks on guide dogs and their handlers</w:t>
      </w:r>
      <w:r>
        <w:rPr>
          <w:vertAlign w:val="superscript"/>
        </w:rPr>
        <w:t xml:space="preserve">7</w:t>
      </w:r>
      <w:r>
        <w:t xml:space="preserve">. Residents in South Auckland communities report living in fear</w:t>
      </w:r>
      <w:r>
        <w:rPr>
          <w:vertAlign w:val="superscript"/>
        </w:rPr>
        <w:t xml:space="preserve">8</w:t>
      </w:r>
      <w:r>
        <w:t xml:space="preserve">, with elderly residents afraid to leave their homes, and children missing school for fear of encountering roaming aggressive dogs on their way to school, or within school grounds</w:t>
      </w:r>
      <w:r>
        <w:rPr>
          <w:vertAlign w:val="superscript"/>
        </w:rPr>
        <w:t xml:space="preserve">9</w:t>
      </w:r>
      <w:r>
        <w:t xml:space="preserve">.</w:t>
      </w:r>
    </w:p>
    <w:p>
      <w:pPr>
        <w:pStyle w:val="BodyText"/>
      </w:pPr>
      <w:r>
        <w:t xml:space="preserve">The Dog Control Act 1996</w:t>
      </w:r>
      <w:r>
        <w:rPr>
          <w:vertAlign w:val="superscript"/>
        </w:rPr>
        <w:t xml:space="preserve">10</w:t>
      </w:r>
      <w:r>
        <w:t xml:space="preserve"> </w:t>
      </w:r>
      <w:r>
        <w:t xml:space="preserve">defines the obligations of dog owners, which include registering their dog, controlling their dog at all times, and ensuring their dog</w:t>
      </w:r>
      <w:r>
        <w:t xml:space="preserve"> </w:t>
      </w:r>
      <w:r>
        <w:t xml:space="preserve">“does not injure, endanger, intimidate, or otherwise cause distress to any person.”</w:t>
      </w:r>
      <w:r>
        <w:t xml:space="preserve"> </w:t>
      </w:r>
      <w:r>
        <w:t xml:space="preserve">The Act also lays out the functions, duties, and powers of territorial authorities, whose responsibilities include minimising the dangers presented by dogs in the community and ensuring the public can</w:t>
      </w:r>
      <w:r>
        <w:t xml:space="preserve"> </w:t>
      </w:r>
      <w:r>
        <w:t xml:space="preserve">“use streets and public amenities without fear of attack or intimidation by dogs.”</w:t>
      </w:r>
      <w:r>
        <w:t xml:space="preserve"> </w:t>
      </w:r>
      <w:r>
        <w:t xml:space="preserve">Auckland Council’s approach to dog control is set out in it’s Dog Management Bylaw</w:t>
      </w:r>
      <w:r>
        <w:rPr>
          <w:vertAlign w:val="superscript"/>
        </w:rPr>
        <w:t xml:space="preserve">11</w:t>
      </w:r>
      <w:r>
        <w:t xml:space="preserve"> </w:t>
      </w:r>
      <w:r>
        <w:t xml:space="preserve">and Policy on Dogs</w:t>
      </w:r>
      <w:r>
        <w:rPr>
          <w:vertAlign w:val="superscript"/>
        </w:rPr>
        <w:t xml:space="preserve">12</w:t>
      </w:r>
      <w:r>
        <w:t xml:space="preserve">. Auckland Council’s Animal Management division has around 150 permanent staff, including five area-based field teams (Central, East, North, South and West), a regional Barking and Registration team, a Proactive team, four animal shelters (Henderson, Manukau, Silverdale, and Pukekohe), a Veterinary Services team, and management, legal, and operational support staff.</w:t>
      </w:r>
    </w:p>
    <w:p>
      <w:pPr>
        <w:pStyle w:val="BodyText"/>
      </w:pPr>
      <w:r>
        <w:t xml:space="preserve">Territorial authorities are required to collect and publish data relating to dog control policies and practices. Auckland Council’s Animal Management division publishes a high-level summary of selected data in it’s annual reports. I made a request under the Local Government Official Information and Meetings Act 1987</w:t>
      </w:r>
      <w:r>
        <w:rPr>
          <w:vertAlign w:val="superscript"/>
        </w:rPr>
        <w:t xml:space="preserve">13</w:t>
      </w:r>
      <w:r>
        <w:t xml:space="preserve"> </w:t>
      </w:r>
      <w:r>
        <w:t xml:space="preserve">on 20 November 2025 for the full dataset, which was fulfilled on 18 December 2025 (request #8140017948). The raw data is available as an R package called</w:t>
      </w:r>
      <w:r>
        <w:t xml:space="preserve"> </w:t>
      </w:r>
      <w:r>
        <w:rPr>
          <w:rStyle w:val="VerbatimChar"/>
        </w:rPr>
        <w:t xml:space="preserve">akldogs</w:t>
      </w:r>
      <w:r>
        <w:rPr>
          <w:vertAlign w:val="superscript"/>
        </w:rPr>
        <w:t xml:space="preserve">14</w:t>
      </w:r>
      <w:r>
        <w:t xml:space="preserve">, and the data is also available as cleaned .csv files in the package’s</w:t>
      </w:r>
      <w:r>
        <w:t xml:space="preserve"> </w:t>
      </w:r>
      <w:hyperlink r:id="rId10">
        <w:r>
          <w:rPr>
            <w:rStyle w:val="Hyperlink"/>
          </w:rPr>
          <w:t xml:space="preserve">GitHub repository</w:t>
        </w:r>
      </w:hyperlink>
      <w:r>
        <w:t xml:space="preserve">. I also compiled data from Auckland Council Animal Management annual reports going back to FY2016, and this data can be found</w:t>
      </w:r>
      <w:r>
        <w:t xml:space="preserve"> </w:t>
      </w:r>
      <w:hyperlink r:id="rId11">
        <w:r>
          <w:rPr>
            <w:rStyle w:val="Hyperlink"/>
          </w:rPr>
          <w:t xml:space="preserve">here</w:t>
        </w:r>
      </w:hyperlink>
      <w:r>
        <w:t xml:space="preserve">. Below is an exploration of both data sources to understand Auckland’s dog population and it’s management. All years are financial years (1 July prev - 30 June current).</w:t>
      </w:r>
    </w:p>
    <w:bookmarkEnd w:id="12"/>
    <w:bookmarkStart w:id="17" w:name="auckland-dog-population"/>
    <w:p>
      <w:pPr>
        <w:pStyle w:val="Heading2"/>
      </w:pPr>
      <w:r>
        <w:t xml:space="preserve">3 Auckland Dog Population</w:t>
      </w:r>
    </w:p>
    <w:p>
      <w:pPr>
        <w:pStyle w:val="FirstParagraph"/>
      </w:pPr>
      <w:r>
        <w:t xml:space="preserve">There were 131,123 known dogs in the Auckland region as at 2025. As the dog population has increased, rates of registration and desexing have fallen. The proportion of dogs classified as</w:t>
      </w:r>
      <w:r>
        <w:t xml:space="preserve"> </w:t>
      </w:r>
      <w:r>
        <w:t xml:space="preserve">‘menacing’</w:t>
      </w:r>
      <w:r>
        <w:t xml:space="preserve"> </w:t>
      </w:r>
      <w:r>
        <w:t xml:space="preserve">under the Dog Control Act 1996, either due to their breed or behaviour, has doubled since 2016 to 1 in 20 dogs. A drop in the recorded dog population in 2018 was due to the removal of duplicate entries in the Auckland Council dog database, and in 2025 was due to the updating of the database during a registration campaign.</w:t>
      </w:r>
    </w:p>
    <w:tbl>
      <w:tblPr>
        <w:tblStyle w:val="Table"/>
        <w:tblW w:type="pct" w:w="5000"/>
        <w:tblLayout w:type="fixed"/>
        <w:tblLook w:firstRow="0" w:lastRow="0" w:firstColumn="0" w:lastColumn="0" w:noHBand="0" w:noVBand="0" w:val="0000"/>
      </w:tblPr>
      <w:tblGrid>
        <w:gridCol w:w="7920"/>
      </w:tblGrid>
      <w:tr>
        <w:tc>
          <w:tcPr/>
          <w:bookmarkStart w:id="13" w:name="tbl-ownershi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jc w:val="right"/>
                    <w:jc w:val="center"/>
                  </w:pPr>
                  <w:r>
                    <w:t xml:space="preserve">Year</w:t>
                  </w:r>
                </w:p>
              </w:tc>
              <w:tc>
                <w:tcPr/>
                <w:p>
                  <w:pPr>
                    <w:pStyle w:val="Compact"/>
                    <w:jc w:val="left"/>
                    <w:jc w:val="center"/>
                  </w:pPr>
                  <w:r>
                    <w:t xml:space="preserve">Known Dogs</w:t>
                  </w:r>
                </w:p>
              </w:tc>
              <w:tc>
                <w:tcPr/>
                <w:p>
                  <w:pPr>
                    <w:pStyle w:val="Compact"/>
                    <w:jc w:val="left"/>
                    <w:jc w:val="center"/>
                  </w:pPr>
                  <w:r>
                    <w:t xml:space="preserve">Pop. Change</w:t>
                  </w:r>
                </w:p>
              </w:tc>
              <w:tc>
                <w:tcPr/>
                <w:p>
                  <w:pPr>
                    <w:pStyle w:val="Compact"/>
                    <w:jc w:val="left"/>
                    <w:jc w:val="center"/>
                  </w:pPr>
                  <w:r>
                    <w:t xml:space="preserve">Registered</w:t>
                  </w:r>
                </w:p>
              </w:tc>
              <w:tc>
                <w:tcPr/>
                <w:p>
                  <w:pPr>
                    <w:pStyle w:val="Compact"/>
                    <w:jc w:val="left"/>
                    <w:jc w:val="center"/>
                  </w:pPr>
                  <w:r>
                    <w:t xml:space="preserve">Desexed</w:t>
                  </w:r>
                </w:p>
              </w:tc>
              <w:tc>
                <w:tcPr/>
                <w:p>
                  <w:pPr>
                    <w:pStyle w:val="Compact"/>
                    <w:jc w:val="left"/>
                    <w:jc w:val="center"/>
                  </w:pPr>
                  <w:r>
                    <w:t xml:space="preserve">Menacing</w:t>
                  </w:r>
                </w:p>
              </w:tc>
            </w:tr>
            <w:tr>
              <w:tc>
                <w:tcPr/>
                <w:p>
                  <w:pPr>
                    <w:pStyle w:val="Compact"/>
                    <w:jc w:val="right"/>
                    <w:jc w:val="center"/>
                  </w:pPr>
                  <w:r>
                    <w:t xml:space="preserve">2025</w:t>
                  </w:r>
                </w:p>
              </w:tc>
              <w:tc>
                <w:tcPr/>
                <w:p>
                  <w:pPr>
                    <w:pStyle w:val="Compact"/>
                    <w:jc w:val="left"/>
                    <w:jc w:val="center"/>
                  </w:pPr>
                  <w:r>
                    <w:t xml:space="preserve">131,123</w:t>
                  </w:r>
                </w:p>
              </w:tc>
              <w:tc>
                <w:tcPr/>
                <w:p>
                  <w:pPr>
                    <w:pStyle w:val="Compact"/>
                    <w:jc w:val="left"/>
                    <w:jc w:val="center"/>
                  </w:pPr>
                  <w:r>
                    <w:t xml:space="preserve">-3.4%</w:t>
                  </w:r>
                </w:p>
              </w:tc>
              <w:tc>
                <w:tcPr/>
                <w:p>
                  <w:pPr>
                    <w:pStyle w:val="Compact"/>
                    <w:jc w:val="left"/>
                    <w:jc w:val="center"/>
                  </w:pPr>
                  <w:r>
                    <w:t xml:space="preserve">88.4%</w:t>
                  </w:r>
                </w:p>
              </w:tc>
              <w:tc>
                <w:tcPr/>
                <w:p>
                  <w:pPr>
                    <w:pStyle w:val="Compact"/>
                    <w:jc w:val="left"/>
                    <w:jc w:val="center"/>
                  </w:pPr>
                  <w:r>
                    <w:t xml:space="preserve">65.0%</w:t>
                  </w:r>
                </w:p>
              </w:tc>
              <w:tc>
                <w:tcPr/>
                <w:p>
                  <w:pPr>
                    <w:pStyle w:val="Compact"/>
                    <w:jc w:val="left"/>
                    <w:jc w:val="center"/>
                  </w:pPr>
                  <w:r>
                    <w:t xml:space="preserve">5.1%</w:t>
                  </w:r>
                </w:p>
              </w:tc>
            </w:tr>
            <w:tr>
              <w:tc>
                <w:tcPr/>
                <w:p>
                  <w:pPr>
                    <w:pStyle w:val="Compact"/>
                    <w:jc w:val="right"/>
                    <w:jc w:val="center"/>
                  </w:pPr>
                  <w:r>
                    <w:t xml:space="preserve">2024</w:t>
                  </w:r>
                </w:p>
              </w:tc>
              <w:tc>
                <w:tcPr/>
                <w:p>
                  <w:pPr>
                    <w:pStyle w:val="Compact"/>
                    <w:jc w:val="left"/>
                    <w:jc w:val="center"/>
                  </w:pPr>
                  <w:r>
                    <w:t xml:space="preserve">135,546</w:t>
                  </w:r>
                </w:p>
              </w:tc>
              <w:tc>
                <w:tcPr/>
                <w:p>
                  <w:pPr>
                    <w:pStyle w:val="Compact"/>
                    <w:jc w:val="left"/>
                    <w:jc w:val="center"/>
                  </w:pPr>
                  <w:r>
                    <w:t xml:space="preserve">2.8%</w:t>
                  </w:r>
                </w:p>
              </w:tc>
              <w:tc>
                <w:tcPr/>
                <w:p>
                  <w:pPr>
                    <w:pStyle w:val="Compact"/>
                    <w:jc w:val="left"/>
                    <w:jc w:val="center"/>
                  </w:pPr>
                  <w:r>
                    <w:t xml:space="preserve">83.6%</w:t>
                  </w:r>
                </w:p>
              </w:tc>
              <w:tc>
                <w:tcPr/>
                <w:p>
                  <w:pPr>
                    <w:pStyle w:val="Compact"/>
                    <w:jc w:val="left"/>
                    <w:jc w:val="center"/>
                  </w:pPr>
                  <w:r>
                    <w:t xml:space="preserve">66.4%</w:t>
                  </w:r>
                </w:p>
              </w:tc>
              <w:tc>
                <w:tcPr/>
                <w:p>
                  <w:pPr>
                    <w:pStyle w:val="Compact"/>
                    <w:jc w:val="left"/>
                    <w:jc w:val="center"/>
                  </w:pPr>
                  <w:r>
                    <w:t xml:space="preserve">4.7%</w:t>
                  </w:r>
                </w:p>
              </w:tc>
            </w:tr>
            <w:tr>
              <w:tc>
                <w:tcPr/>
                <w:p>
                  <w:pPr>
                    <w:pStyle w:val="Compact"/>
                    <w:jc w:val="right"/>
                    <w:jc w:val="center"/>
                  </w:pPr>
                  <w:r>
                    <w:t xml:space="preserve">2023</w:t>
                  </w:r>
                </w:p>
              </w:tc>
              <w:tc>
                <w:tcPr/>
                <w:p>
                  <w:pPr>
                    <w:pStyle w:val="Compact"/>
                    <w:jc w:val="left"/>
                    <w:jc w:val="center"/>
                  </w:pPr>
                  <w:r>
                    <w:t xml:space="preserve">131,795</w:t>
                  </w:r>
                </w:p>
              </w:tc>
              <w:tc>
                <w:tcPr/>
                <w:p>
                  <w:pPr>
                    <w:pStyle w:val="Compact"/>
                    <w:jc w:val="left"/>
                    <w:jc w:val="center"/>
                  </w:pPr>
                  <w:r>
                    <w:t xml:space="preserve">5.1%</w:t>
                  </w:r>
                </w:p>
              </w:tc>
              <w:tc>
                <w:tcPr/>
                <w:p>
                  <w:pPr>
                    <w:pStyle w:val="Compact"/>
                    <w:jc w:val="left"/>
                    <w:jc w:val="center"/>
                  </w:pPr>
                  <w:r>
                    <w:t xml:space="preserve">88.2%</w:t>
                  </w:r>
                </w:p>
              </w:tc>
              <w:tc>
                <w:tcPr/>
                <w:p>
                  <w:pPr>
                    <w:pStyle w:val="Compact"/>
                    <w:jc w:val="left"/>
                    <w:jc w:val="center"/>
                  </w:pPr>
                  <w:r>
                    <w:t xml:space="preserve">68.2%</w:t>
                  </w:r>
                </w:p>
              </w:tc>
              <w:tc>
                <w:tcPr/>
                <w:p>
                  <w:pPr>
                    <w:pStyle w:val="Compact"/>
                    <w:jc w:val="left"/>
                    <w:jc w:val="center"/>
                  </w:pPr>
                  <w:r>
                    <w:t xml:space="preserve">4.1%</w:t>
                  </w:r>
                </w:p>
              </w:tc>
            </w:tr>
            <w:tr>
              <w:tc>
                <w:tcPr/>
                <w:p>
                  <w:pPr>
                    <w:pStyle w:val="Compact"/>
                    <w:jc w:val="right"/>
                    <w:jc w:val="center"/>
                  </w:pPr>
                  <w:r>
                    <w:t xml:space="preserve">2022</w:t>
                  </w:r>
                </w:p>
              </w:tc>
              <w:tc>
                <w:tcPr/>
                <w:p>
                  <w:pPr>
                    <w:pStyle w:val="Compact"/>
                    <w:jc w:val="left"/>
                    <w:jc w:val="center"/>
                  </w:pPr>
                  <w:r>
                    <w:t xml:space="preserve">125,016</w:t>
                  </w:r>
                </w:p>
              </w:tc>
              <w:tc>
                <w:tcPr/>
                <w:p>
                  <w:pPr>
                    <w:pStyle w:val="Compact"/>
                    <w:jc w:val="left"/>
                    <w:jc w:val="center"/>
                  </w:pPr>
                  <w:r>
                    <w:t xml:space="preserve">5.2%</w:t>
                  </w:r>
                </w:p>
              </w:tc>
              <w:tc>
                <w:tcPr/>
                <w:p>
                  <w:pPr>
                    <w:pStyle w:val="Compact"/>
                    <w:jc w:val="left"/>
                    <w:jc w:val="center"/>
                  </w:pPr>
                  <w:r>
                    <w:t xml:space="preserve">91.0%</w:t>
                  </w:r>
                </w:p>
              </w:tc>
              <w:tc>
                <w:tcPr/>
                <w:p>
                  <w:pPr>
                    <w:pStyle w:val="Compact"/>
                    <w:jc w:val="left"/>
                    <w:jc w:val="center"/>
                  </w:pPr>
                  <w:r>
                    <w:t xml:space="preserve">50.7%</w:t>
                  </w:r>
                </w:p>
              </w:tc>
              <w:tc>
                <w:tcPr/>
                <w:p>
                  <w:pPr>
                    <w:pStyle w:val="Compact"/>
                    <w:jc w:val="left"/>
                    <w:jc w:val="center"/>
                  </w:pPr>
                  <w:r>
                    <w:t xml:space="preserve">4.3%</w:t>
                  </w:r>
                </w:p>
              </w:tc>
            </w:tr>
            <w:tr>
              <w:tc>
                <w:tcPr/>
                <w:p>
                  <w:pPr>
                    <w:pStyle w:val="Compact"/>
                    <w:jc w:val="right"/>
                    <w:jc w:val="center"/>
                  </w:pPr>
                  <w:r>
                    <w:t xml:space="preserve">2021</w:t>
                  </w:r>
                </w:p>
              </w:tc>
              <w:tc>
                <w:tcPr/>
                <w:p>
                  <w:pPr>
                    <w:pStyle w:val="Compact"/>
                    <w:jc w:val="left"/>
                    <w:jc w:val="center"/>
                  </w:pPr>
                  <w:r>
                    <w:t xml:space="preserve">118,552</w:t>
                  </w:r>
                </w:p>
              </w:tc>
              <w:tc>
                <w:tcPr/>
                <w:p>
                  <w:pPr>
                    <w:pStyle w:val="Compact"/>
                    <w:jc w:val="left"/>
                    <w:jc w:val="center"/>
                  </w:pPr>
                  <w:r>
                    <w:t xml:space="preserve">5.1%</w:t>
                  </w:r>
                </w:p>
              </w:tc>
              <w:tc>
                <w:tcPr/>
                <w:p>
                  <w:pPr>
                    <w:pStyle w:val="Compact"/>
                    <w:jc w:val="left"/>
                    <w:jc w:val="center"/>
                  </w:pPr>
                  <w:r>
                    <w:t xml:space="preserve">94.8%</w:t>
                  </w:r>
                </w:p>
              </w:tc>
              <w:tc>
                <w:tcPr/>
                <w:p>
                  <w:pPr>
                    <w:pStyle w:val="Compact"/>
                    <w:jc w:val="left"/>
                    <w:jc w:val="center"/>
                  </w:pPr>
                  <w:r>
                    <w:t xml:space="preserve">73.4%</w:t>
                  </w:r>
                </w:p>
              </w:tc>
              <w:tc>
                <w:tcPr/>
                <w:p>
                  <w:pPr>
                    <w:pStyle w:val="Compact"/>
                    <w:jc w:val="left"/>
                    <w:jc w:val="center"/>
                  </w:pPr>
                  <w:r>
                    <w:t xml:space="preserve">4.1%</w:t>
                  </w:r>
                </w:p>
              </w:tc>
            </w:tr>
            <w:tr>
              <w:tc>
                <w:tcPr/>
                <w:p>
                  <w:pPr>
                    <w:pStyle w:val="Compact"/>
                    <w:jc w:val="right"/>
                    <w:jc w:val="center"/>
                  </w:pPr>
                  <w:r>
                    <w:t xml:space="preserve">2020</w:t>
                  </w:r>
                </w:p>
              </w:tc>
              <w:tc>
                <w:tcPr/>
                <w:p>
                  <w:pPr>
                    <w:pStyle w:val="Compact"/>
                    <w:jc w:val="left"/>
                    <w:jc w:val="center"/>
                  </w:pPr>
                  <w:r>
                    <w:t xml:space="preserve">112,530</w:t>
                  </w:r>
                </w:p>
              </w:tc>
              <w:tc>
                <w:tcPr/>
                <w:p>
                  <w:pPr>
                    <w:pStyle w:val="Compact"/>
                    <w:jc w:val="left"/>
                    <w:jc w:val="center"/>
                  </w:pPr>
                  <w:r>
                    <w:t xml:space="preserve">1.4%</w:t>
                  </w:r>
                </w:p>
              </w:tc>
              <w:tc>
                <w:tcPr/>
                <w:p>
                  <w:pPr>
                    <w:pStyle w:val="Compact"/>
                    <w:jc w:val="left"/>
                    <w:jc w:val="center"/>
                  </w:pPr>
                  <w:r>
                    <w:t xml:space="preserve">94.4%</w:t>
                  </w:r>
                </w:p>
              </w:tc>
              <w:tc>
                <w:tcPr/>
                <w:p>
                  <w:pPr>
                    <w:pStyle w:val="Compact"/>
                    <w:jc w:val="left"/>
                    <w:jc w:val="center"/>
                  </w:pPr>
                  <w:r>
                    <w:t xml:space="preserve">NA</w:t>
                  </w:r>
                </w:p>
              </w:tc>
              <w:tc>
                <w:tcPr/>
                <w:p>
                  <w:pPr>
                    <w:pStyle w:val="Compact"/>
                    <w:jc w:val="left"/>
                    <w:jc w:val="center"/>
                  </w:pPr>
                  <w:r>
                    <w:t xml:space="preserve">4.2%</w:t>
                  </w:r>
                </w:p>
              </w:tc>
            </w:tr>
            <w:tr>
              <w:tc>
                <w:tcPr/>
                <w:p>
                  <w:pPr>
                    <w:pStyle w:val="Compact"/>
                    <w:jc w:val="right"/>
                    <w:jc w:val="center"/>
                  </w:pPr>
                  <w:r>
                    <w:t xml:space="preserve">2019</w:t>
                  </w:r>
                </w:p>
              </w:tc>
              <w:tc>
                <w:tcPr/>
                <w:p>
                  <w:pPr>
                    <w:pStyle w:val="Compact"/>
                    <w:jc w:val="left"/>
                    <w:jc w:val="center"/>
                  </w:pPr>
                  <w:r>
                    <w:t xml:space="preserve">110,969</w:t>
                  </w:r>
                </w:p>
              </w:tc>
              <w:tc>
                <w:tcPr/>
                <w:p>
                  <w:pPr>
                    <w:pStyle w:val="Compact"/>
                    <w:jc w:val="left"/>
                    <w:jc w:val="center"/>
                  </w:pPr>
                  <w:r>
                    <w:t xml:space="preserve">0.9%</w:t>
                  </w:r>
                </w:p>
              </w:tc>
              <w:tc>
                <w:tcPr/>
                <w:p>
                  <w:pPr>
                    <w:pStyle w:val="Compact"/>
                    <w:jc w:val="left"/>
                    <w:jc w:val="center"/>
                  </w:pPr>
                  <w:r>
                    <w:t xml:space="preserve">96.1%</w:t>
                  </w:r>
                </w:p>
              </w:tc>
              <w:tc>
                <w:tcPr/>
                <w:p>
                  <w:pPr>
                    <w:pStyle w:val="Compact"/>
                    <w:jc w:val="left"/>
                    <w:jc w:val="center"/>
                  </w:pPr>
                  <w:r>
                    <w:t xml:space="preserve">NA</w:t>
                  </w:r>
                </w:p>
              </w:tc>
              <w:tc>
                <w:tcPr/>
                <w:p>
                  <w:pPr>
                    <w:pStyle w:val="Compact"/>
                    <w:jc w:val="left"/>
                    <w:jc w:val="center"/>
                  </w:pPr>
                  <w:r>
                    <w:t xml:space="preserve">4.0%</w:t>
                  </w:r>
                </w:p>
              </w:tc>
            </w:tr>
            <w:tr>
              <w:tc>
                <w:tcPr/>
                <w:p>
                  <w:pPr>
                    <w:pStyle w:val="Compact"/>
                    <w:jc w:val="right"/>
                    <w:jc w:val="center"/>
                  </w:pPr>
                  <w:r>
                    <w:t xml:space="preserve">2018</w:t>
                  </w:r>
                </w:p>
              </w:tc>
              <w:tc>
                <w:tcPr/>
                <w:p>
                  <w:pPr>
                    <w:pStyle w:val="Compact"/>
                    <w:jc w:val="left"/>
                    <w:jc w:val="center"/>
                  </w:pPr>
                  <w:r>
                    <w:t xml:space="preserve">110,012</w:t>
                  </w:r>
                </w:p>
              </w:tc>
              <w:tc>
                <w:tcPr/>
                <w:p>
                  <w:pPr>
                    <w:pStyle w:val="Compact"/>
                    <w:jc w:val="left"/>
                    <w:jc w:val="center"/>
                  </w:pPr>
                  <w:r>
                    <w:t xml:space="preserve">-5.0%</w:t>
                  </w:r>
                </w:p>
              </w:tc>
              <w:tc>
                <w:tcPr/>
                <w:p>
                  <w:pPr>
                    <w:pStyle w:val="Compact"/>
                    <w:jc w:val="left"/>
                    <w:jc w:val="center"/>
                  </w:pPr>
                  <w:r>
                    <w:t xml:space="preserve">93.6%</w:t>
                  </w:r>
                </w:p>
              </w:tc>
              <w:tc>
                <w:tcPr/>
                <w:p>
                  <w:pPr>
                    <w:pStyle w:val="Compact"/>
                    <w:jc w:val="left"/>
                    <w:jc w:val="center"/>
                  </w:pPr>
                  <w:r>
                    <w:t xml:space="preserve">NA</w:t>
                  </w:r>
                </w:p>
              </w:tc>
              <w:tc>
                <w:tcPr/>
                <w:p>
                  <w:pPr>
                    <w:pStyle w:val="Compact"/>
                    <w:jc w:val="left"/>
                    <w:jc w:val="center"/>
                  </w:pPr>
                  <w:r>
                    <w:t xml:space="preserve">3.9%</w:t>
                  </w:r>
                </w:p>
              </w:tc>
            </w:tr>
            <w:tr>
              <w:tc>
                <w:tcPr/>
                <w:p>
                  <w:pPr>
                    <w:pStyle w:val="Compact"/>
                    <w:jc w:val="right"/>
                    <w:jc w:val="center"/>
                  </w:pPr>
                  <w:r>
                    <w:t xml:space="preserve">2017</w:t>
                  </w:r>
                </w:p>
              </w:tc>
              <w:tc>
                <w:tcPr/>
                <w:p>
                  <w:pPr>
                    <w:pStyle w:val="Compact"/>
                    <w:jc w:val="left"/>
                    <w:jc w:val="center"/>
                  </w:pPr>
                  <w:r>
                    <w:t xml:space="preserve">115,544</w:t>
                  </w:r>
                </w:p>
              </w:tc>
              <w:tc>
                <w:tcPr/>
                <w:p>
                  <w:pPr>
                    <w:pStyle w:val="Compact"/>
                    <w:jc w:val="left"/>
                    <w:jc w:val="center"/>
                  </w:pPr>
                  <w:r>
                    <w:t xml:space="preserve">0.9%</w:t>
                  </w:r>
                </w:p>
              </w:tc>
              <w:tc>
                <w:tcPr/>
                <w:p>
                  <w:pPr>
                    <w:pStyle w:val="Compact"/>
                    <w:jc w:val="left"/>
                    <w:jc w:val="center"/>
                  </w:pPr>
                  <w:r>
                    <w:t xml:space="preserve">83.7%</w:t>
                  </w:r>
                </w:p>
              </w:tc>
              <w:tc>
                <w:tcPr/>
                <w:p>
                  <w:pPr>
                    <w:pStyle w:val="Compact"/>
                    <w:jc w:val="left"/>
                    <w:jc w:val="center"/>
                  </w:pPr>
                  <w:r>
                    <w:t xml:space="preserve">NA</w:t>
                  </w:r>
                </w:p>
              </w:tc>
              <w:tc>
                <w:tcPr/>
                <w:p>
                  <w:pPr>
                    <w:pStyle w:val="Compact"/>
                    <w:jc w:val="left"/>
                    <w:jc w:val="center"/>
                  </w:pPr>
                  <w:r>
                    <w:t xml:space="preserve">3.6%</w:t>
                  </w:r>
                </w:p>
              </w:tc>
            </w:tr>
            <w:tr>
              <w:tc>
                <w:tcPr/>
                <w:p>
                  <w:pPr>
                    <w:pStyle w:val="Compact"/>
                    <w:jc w:val="right"/>
                    <w:jc w:val="center"/>
                  </w:pPr>
                  <w:r>
                    <w:t xml:space="preserve">2016</w:t>
                  </w:r>
                </w:p>
              </w:tc>
              <w:tc>
                <w:tcPr/>
                <w:p>
                  <w:pPr>
                    <w:pStyle w:val="Compact"/>
                    <w:jc w:val="left"/>
                    <w:jc w:val="center"/>
                  </w:pPr>
                  <w:r>
                    <w:t xml:space="preserve">114,519</w:t>
                  </w:r>
                </w:p>
              </w:tc>
              <w:tc>
                <w:tcPr/>
                <w:p>
                  <w:pPr>
                    <w:pStyle w:val="Compact"/>
                    <w:jc w:val="left"/>
                    <w:jc w:val="center"/>
                  </w:pPr>
                  <w:r>
                    <w:t xml:space="preserve">4.1%</w:t>
                  </w:r>
                </w:p>
              </w:tc>
              <w:tc>
                <w:tcPr/>
                <w:p>
                  <w:pPr>
                    <w:pStyle w:val="Compact"/>
                    <w:jc w:val="left"/>
                    <w:jc w:val="center"/>
                  </w:pPr>
                  <w:r>
                    <w:t xml:space="preserve">93.2%</w:t>
                  </w:r>
                </w:p>
              </w:tc>
              <w:tc>
                <w:tcPr/>
                <w:p>
                  <w:pPr>
                    <w:pStyle w:val="Compact"/>
                    <w:jc w:val="left"/>
                    <w:jc w:val="center"/>
                  </w:pPr>
                  <w:r>
                    <w:t xml:space="preserve">NA</w:t>
                  </w:r>
                </w:p>
              </w:tc>
              <w:tc>
                <w:tcPr/>
                <w:p>
                  <w:pPr>
                    <w:pStyle w:val="Compact"/>
                    <w:jc w:val="left"/>
                    <w:jc w:val="center"/>
                  </w:pPr>
                  <w:r>
                    <w:t xml:space="preserve">2.4%</w:t>
                  </w:r>
                </w:p>
              </w:tc>
            </w:tr>
            <w:tr>
              <w:tc>
                <w:tcPr/>
                <w:p>
                  <w:pPr>
                    <w:pStyle w:val="Compact"/>
                    <w:jc w:val="right"/>
                    <w:jc w:val="center"/>
                  </w:pPr>
                  <w:r>
                    <w:t xml:space="preserve">2015</w:t>
                  </w:r>
                </w:p>
              </w:tc>
              <w:tc>
                <w:tcPr/>
                <w:p>
                  <w:pPr>
                    <w:pStyle w:val="Compact"/>
                    <w:jc w:val="left"/>
                    <w:jc w:val="center"/>
                  </w:pPr>
                  <w:r>
                    <w:t xml:space="preserve">109,840</w:t>
                  </w:r>
                </w:p>
              </w:tc>
              <w:tc>
                <w:tcPr/>
                <w:p>
                  <w:pPr>
                    <w:pStyle w:val="Compact"/>
                    <w:jc w:val="left"/>
                    <w:jc w:val="center"/>
                  </w:pPr>
                  <w:r>
                    <w:t xml:space="preserve">4.3%</w:t>
                  </w:r>
                </w:p>
              </w:tc>
              <w:tc>
                <w:tcPr/>
                <w:p>
                  <w:pPr>
                    <w:pStyle w:val="Compact"/>
                    <w:jc w:val="left"/>
                    <w:jc w:val="center"/>
                  </w:pPr>
                  <w:r>
                    <w:t xml:space="preserve">91.2%</w:t>
                  </w:r>
                </w:p>
              </w:tc>
              <w:tc>
                <w:tcPr/>
                <w:p>
                  <w:pPr>
                    <w:pStyle w:val="Compact"/>
                    <w:jc w:val="left"/>
                    <w:jc w:val="center"/>
                  </w:pPr>
                  <w:r>
                    <w:t xml:space="preserve">NA</w:t>
                  </w:r>
                </w:p>
              </w:tc>
              <w:tc>
                <w:tcPr/>
                <w:p>
                  <w:pPr>
                    <w:pStyle w:val="Compact"/>
                    <w:jc w:val="left"/>
                    <w:jc w:val="center"/>
                  </w:pPr>
                  <w:r>
                    <w:t xml:space="preserve">2.7%</w:t>
                  </w:r>
                </w:p>
              </w:tc>
            </w:tr>
            <w:tr>
              <w:tc>
                <w:tcPr/>
                <w:p>
                  <w:pPr>
                    <w:pStyle w:val="Compact"/>
                    <w:jc w:val="right"/>
                    <w:jc w:val="center"/>
                  </w:pPr>
                  <w:r>
                    <w:t xml:space="preserve">2014</w:t>
                  </w:r>
                </w:p>
              </w:tc>
              <w:tc>
                <w:tcPr/>
                <w:p>
                  <w:pPr>
                    <w:pStyle w:val="Compact"/>
                    <w:jc w:val="left"/>
                    <w:jc w:val="center"/>
                  </w:pPr>
                  <w:r>
                    <w:t xml:space="preserve">105,095</w:t>
                  </w:r>
                </w:p>
              </w:tc>
              <w:tc>
                <w:tcPr/>
                <w:p>
                  <w:pPr>
                    <w:pStyle w:val="Compact"/>
                    <w:jc w:val="left"/>
                    <w:jc w:val="center"/>
                  </w:pPr>
                  <w:r>
                    <w:t xml:space="preserve">NA</w:t>
                  </w:r>
                </w:p>
              </w:tc>
              <w:tc>
                <w:tcPr/>
                <w:p>
                  <w:pPr>
                    <w:pStyle w:val="Compact"/>
                    <w:jc w:val="left"/>
                    <w:jc w:val="center"/>
                  </w:pPr>
                  <w:r>
                    <w:t xml:space="preserve">95.9%</w:t>
                  </w:r>
                </w:p>
              </w:tc>
              <w:tc>
                <w:tcPr/>
                <w:p>
                  <w:pPr>
                    <w:pStyle w:val="Compact"/>
                    <w:jc w:val="left"/>
                    <w:jc w:val="center"/>
                  </w:pPr>
                  <w:r>
                    <w:t xml:space="preserve">NA</w:t>
                  </w:r>
                </w:p>
              </w:tc>
              <w:tc>
                <w:tcPr/>
                <w:p>
                  <w:pPr>
                    <w:pStyle w:val="Compact"/>
                    <w:jc w:val="left"/>
                    <w:jc w:val="center"/>
                  </w:pPr>
                  <w:r>
                    <w:t xml:space="preserve">0.7%</w:t>
                  </w:r>
                </w:p>
              </w:tc>
            </w:tr>
          </w:tbl>
          <w:p>
            <w:pPr>
              <w:jc w:val="center"/>
            </w:pPr>
            <w:pPr>
              <w:jc w:val="left"/>
              <w:spacing w:before="200"/>
              <w:pStyle w:val="ImageCaption"/>
            </w:pPr>
            <w:r>
              <w:t xml:space="preserve">Table 1: Source: Auckland Council Animal Management data.</w:t>
            </w:r>
          </w:p>
          <w:bookmarkEnd w:id="13"/>
        </w:tc>
      </w:tr>
    </w:tbl>
    <w:p>
      <w:pPr>
        <w:pStyle w:val="BodyText"/>
      </w:pPr>
      <w:r>
        <w:rPr>
          <w:vertAlign w:val="subscript"/>
        </w:rPr>
        <w:t xml:space="preserve">Source:</w:t>
      </w:r>
      <w:r>
        <w:rPr>
          <w:vertAlign w:val="subscript"/>
        </w:rPr>
        <w:t xml:space="preserve"> </w:t>
      </w:r>
      <w:hyperlink r:id="rId14">
        <w:r>
          <w:rPr>
            <w:rStyle w:val="Hyperlink"/>
            <w:vertAlign w:val="subscript"/>
          </w:rPr>
          <w:t xml:space="preserve">Data Analysis</w:t>
        </w:r>
      </w:hyperlink>
    </w:p>
    <w:p>
      <w:pPr>
        <w:pStyle w:val="BodyText"/>
      </w:pPr>
      <w:r>
        <w:t xml:space="preserve">Over 200 breeds are represented in the Auckland dog population. Labrador Retrievers remain the most popular, accounting for 11% of dogs in Auckland, with the top 10 also including the Staffordshire Bull Terrier and American Pit Bull Terrier, both automatically classified as</w:t>
      </w:r>
      <w:r>
        <w:t xml:space="preserve"> </w:t>
      </w:r>
      <w:r>
        <w:t xml:space="preserve">‘menacing’</w:t>
      </w:r>
      <w:r>
        <w:t xml:space="preserve"> </w:t>
      </w:r>
      <w:r>
        <w:t xml:space="preserve">under the Dog Control Act 1996.</w:t>
      </w:r>
    </w:p>
    <w:tbl>
      <w:tblPr>
        <w:tblStyle w:val="Table"/>
        <w:tblW w:type="pct" w:w="5000"/>
        <w:tblLayout w:type="fixed"/>
        <w:tblLook w:firstRow="0" w:lastRow="0" w:firstColumn="0" w:lastColumn="0" w:noHBand="0" w:noVBand="0" w:val="0000"/>
      </w:tblPr>
      <w:tblGrid>
        <w:gridCol w:w="7920"/>
      </w:tblGrid>
      <w:tr>
        <w:tc>
          <w:tcPr/>
          <w:bookmarkStart w:id="15" w:name="tbl-top-breeds"/>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jc w:val="center"/>
                  </w:pPr>
                  <w:r>
                    <w:t xml:space="preserve">Breed</w:t>
                  </w:r>
                </w:p>
              </w:tc>
              <w:tc>
                <w:tcPr/>
                <w:p>
                  <w:pPr>
                    <w:pStyle w:val="Compact"/>
                    <w:jc w:val="left"/>
                    <w:jc w:val="center"/>
                  </w:pPr>
                  <w:r>
                    <w:t xml:space="preserve">Count</w:t>
                  </w:r>
                </w:p>
              </w:tc>
              <w:tc>
                <w:tcPr/>
                <w:p>
                  <w:pPr>
                    <w:pStyle w:val="Compact"/>
                    <w:jc w:val="left"/>
                    <w:jc w:val="center"/>
                  </w:pPr>
                  <w:r>
                    <w:t xml:space="preserve">Proportion</w:t>
                  </w:r>
                </w:p>
              </w:tc>
            </w:tr>
            <w:tr>
              <w:tc>
                <w:tcPr/>
                <w:p>
                  <w:pPr>
                    <w:pStyle w:val="Compact"/>
                    <w:jc w:val="left"/>
                    <w:jc w:val="center"/>
                  </w:pPr>
                  <w:r>
                    <w:t xml:space="preserve">Labrador Retriever</w:t>
                  </w:r>
                </w:p>
              </w:tc>
              <w:tc>
                <w:tcPr/>
                <w:p>
                  <w:pPr>
                    <w:pStyle w:val="Compact"/>
                    <w:jc w:val="left"/>
                    <w:jc w:val="center"/>
                  </w:pPr>
                  <w:r>
                    <w:t xml:space="preserve">14,959</w:t>
                  </w:r>
                </w:p>
              </w:tc>
              <w:tc>
                <w:tcPr/>
                <w:p>
                  <w:pPr>
                    <w:pStyle w:val="Compact"/>
                    <w:jc w:val="left"/>
                    <w:jc w:val="center"/>
                  </w:pPr>
                  <w:r>
                    <w:t xml:space="preserve">11.4%</w:t>
                  </w:r>
                </w:p>
              </w:tc>
            </w:tr>
            <w:tr>
              <w:tc>
                <w:tcPr/>
                <w:p>
                  <w:pPr>
                    <w:pStyle w:val="Compact"/>
                    <w:jc w:val="left"/>
                    <w:jc w:val="center"/>
                  </w:pPr>
                  <w:r>
                    <w:t xml:space="preserve">Staffordshire Bull Terrier</w:t>
                  </w:r>
                </w:p>
              </w:tc>
              <w:tc>
                <w:tcPr/>
                <w:p>
                  <w:pPr>
                    <w:pStyle w:val="Compact"/>
                    <w:jc w:val="left"/>
                    <w:jc w:val="center"/>
                  </w:pPr>
                  <w:r>
                    <w:t xml:space="preserve">8,474</w:t>
                  </w:r>
                </w:p>
              </w:tc>
              <w:tc>
                <w:tcPr/>
                <w:p>
                  <w:pPr>
                    <w:pStyle w:val="Compact"/>
                    <w:jc w:val="left"/>
                    <w:jc w:val="center"/>
                  </w:pPr>
                  <w:r>
                    <w:t xml:space="preserve">6.5%</w:t>
                  </w:r>
                </w:p>
              </w:tc>
            </w:tr>
            <w:tr>
              <w:tc>
                <w:tcPr/>
                <w:p>
                  <w:pPr>
                    <w:pStyle w:val="Compact"/>
                    <w:jc w:val="left"/>
                    <w:jc w:val="center"/>
                  </w:pPr>
                  <w:r>
                    <w:t xml:space="preserve">Border Collie</w:t>
                  </w:r>
                </w:p>
              </w:tc>
              <w:tc>
                <w:tcPr/>
                <w:p>
                  <w:pPr>
                    <w:pStyle w:val="Compact"/>
                    <w:jc w:val="left"/>
                    <w:jc w:val="center"/>
                  </w:pPr>
                  <w:r>
                    <w:t xml:space="preserve">6,170</w:t>
                  </w:r>
                </w:p>
              </w:tc>
              <w:tc>
                <w:tcPr/>
                <w:p>
                  <w:pPr>
                    <w:pStyle w:val="Compact"/>
                    <w:jc w:val="left"/>
                    <w:jc w:val="center"/>
                  </w:pPr>
                  <w:r>
                    <w:t xml:space="preserve">4.7%</w:t>
                  </w:r>
                </w:p>
              </w:tc>
            </w:tr>
            <w:tr>
              <w:tc>
                <w:tcPr/>
                <w:p>
                  <w:pPr>
                    <w:pStyle w:val="Compact"/>
                    <w:jc w:val="left"/>
                    <w:jc w:val="center"/>
                  </w:pPr>
                  <w:r>
                    <w:t xml:space="preserve">Miniature Schnauzer</w:t>
                  </w:r>
                </w:p>
              </w:tc>
              <w:tc>
                <w:tcPr/>
                <w:p>
                  <w:pPr>
                    <w:pStyle w:val="Compact"/>
                    <w:jc w:val="left"/>
                    <w:jc w:val="center"/>
                  </w:pPr>
                  <w:r>
                    <w:t xml:space="preserve">4,900</w:t>
                  </w:r>
                </w:p>
              </w:tc>
              <w:tc>
                <w:tcPr/>
                <w:p>
                  <w:pPr>
                    <w:pStyle w:val="Compact"/>
                    <w:jc w:val="left"/>
                    <w:jc w:val="center"/>
                  </w:pPr>
                  <w:r>
                    <w:t xml:space="preserve">3.7%</w:t>
                  </w:r>
                </w:p>
              </w:tc>
            </w:tr>
            <w:tr>
              <w:tc>
                <w:tcPr/>
                <w:p>
                  <w:pPr>
                    <w:pStyle w:val="Compact"/>
                    <w:jc w:val="left"/>
                    <w:jc w:val="center"/>
                  </w:pPr>
                  <w:r>
                    <w:t xml:space="preserve">Cavalier King Charles Spaniel</w:t>
                  </w:r>
                </w:p>
              </w:tc>
              <w:tc>
                <w:tcPr/>
                <w:p>
                  <w:pPr>
                    <w:pStyle w:val="Compact"/>
                    <w:jc w:val="left"/>
                    <w:jc w:val="center"/>
                  </w:pPr>
                  <w:r>
                    <w:t xml:space="preserve">4,784</w:t>
                  </w:r>
                </w:p>
              </w:tc>
              <w:tc>
                <w:tcPr/>
                <w:p>
                  <w:pPr>
                    <w:pStyle w:val="Compact"/>
                    <w:jc w:val="left"/>
                    <w:jc w:val="center"/>
                  </w:pPr>
                  <w:r>
                    <w:t xml:space="preserve">3.6%</w:t>
                  </w:r>
                </w:p>
              </w:tc>
            </w:tr>
            <w:tr>
              <w:tc>
                <w:tcPr/>
                <w:p>
                  <w:pPr>
                    <w:pStyle w:val="Compact"/>
                    <w:jc w:val="left"/>
                    <w:jc w:val="center"/>
                  </w:pPr>
                  <w:r>
                    <w:t xml:space="preserve">Golden Retriever</w:t>
                  </w:r>
                </w:p>
              </w:tc>
              <w:tc>
                <w:tcPr/>
                <w:p>
                  <w:pPr>
                    <w:pStyle w:val="Compact"/>
                    <w:jc w:val="left"/>
                    <w:jc w:val="center"/>
                  </w:pPr>
                  <w:r>
                    <w:t xml:space="preserve">4,636</w:t>
                  </w:r>
                </w:p>
              </w:tc>
              <w:tc>
                <w:tcPr/>
                <w:p>
                  <w:pPr>
                    <w:pStyle w:val="Compact"/>
                    <w:jc w:val="left"/>
                    <w:jc w:val="center"/>
                  </w:pPr>
                  <w:r>
                    <w:t xml:space="preserve">3.5%</w:t>
                  </w:r>
                </w:p>
              </w:tc>
            </w:tr>
            <w:tr>
              <w:tc>
                <w:tcPr/>
                <w:p>
                  <w:pPr>
                    <w:pStyle w:val="Compact"/>
                    <w:jc w:val="left"/>
                    <w:jc w:val="center"/>
                  </w:pPr>
                  <w:r>
                    <w:t xml:space="preserve">Shih Tzu</w:t>
                  </w:r>
                </w:p>
              </w:tc>
              <w:tc>
                <w:tcPr/>
                <w:p>
                  <w:pPr>
                    <w:pStyle w:val="Compact"/>
                    <w:jc w:val="left"/>
                    <w:jc w:val="center"/>
                  </w:pPr>
                  <w:r>
                    <w:t xml:space="preserve">4,216</w:t>
                  </w:r>
                </w:p>
              </w:tc>
              <w:tc>
                <w:tcPr/>
                <w:p>
                  <w:pPr>
                    <w:pStyle w:val="Compact"/>
                    <w:jc w:val="left"/>
                    <w:jc w:val="center"/>
                  </w:pPr>
                  <w:r>
                    <w:t xml:space="preserve">3.2%</w:t>
                  </w:r>
                </w:p>
              </w:tc>
            </w:tr>
            <w:tr>
              <w:tc>
                <w:tcPr/>
                <w:p>
                  <w:pPr>
                    <w:pStyle w:val="Compact"/>
                    <w:jc w:val="left"/>
                    <w:jc w:val="center"/>
                  </w:pPr>
                  <w:r>
                    <w:t xml:space="preserve">German Shepherd</w:t>
                  </w:r>
                </w:p>
              </w:tc>
              <w:tc>
                <w:tcPr/>
                <w:p>
                  <w:pPr>
                    <w:pStyle w:val="Compact"/>
                    <w:jc w:val="left"/>
                    <w:jc w:val="center"/>
                  </w:pPr>
                  <w:r>
                    <w:t xml:space="preserve">4,196</w:t>
                  </w:r>
                </w:p>
              </w:tc>
              <w:tc>
                <w:tcPr/>
                <w:p>
                  <w:pPr>
                    <w:pStyle w:val="Compact"/>
                    <w:jc w:val="left"/>
                    <w:jc w:val="center"/>
                  </w:pPr>
                  <w:r>
                    <w:t xml:space="preserve">3.2%</w:t>
                  </w:r>
                </w:p>
              </w:tc>
            </w:tr>
            <w:tr>
              <w:tc>
                <w:tcPr/>
                <w:p>
                  <w:pPr>
                    <w:pStyle w:val="Compact"/>
                    <w:jc w:val="left"/>
                    <w:jc w:val="center"/>
                  </w:pPr>
                  <w:r>
                    <w:t xml:space="preserve">American Pit Bull Terrier</w:t>
                  </w:r>
                </w:p>
              </w:tc>
              <w:tc>
                <w:tcPr/>
                <w:p>
                  <w:pPr>
                    <w:pStyle w:val="Compact"/>
                    <w:jc w:val="left"/>
                    <w:jc w:val="center"/>
                  </w:pPr>
                  <w:r>
                    <w:t xml:space="preserve">3,908</w:t>
                  </w:r>
                </w:p>
              </w:tc>
              <w:tc>
                <w:tcPr/>
                <w:p>
                  <w:pPr>
                    <w:pStyle w:val="Compact"/>
                    <w:jc w:val="left"/>
                    <w:jc w:val="center"/>
                  </w:pPr>
                  <w:r>
                    <w:t xml:space="preserve">3.0%</w:t>
                  </w:r>
                </w:p>
              </w:tc>
            </w:tr>
            <w:tr>
              <w:tc>
                <w:tcPr/>
                <w:p>
                  <w:pPr>
                    <w:pStyle w:val="Compact"/>
                    <w:jc w:val="left"/>
                    <w:jc w:val="center"/>
                  </w:pPr>
                  <w:r>
                    <w:t xml:space="preserve">Jack Russell Terrier</w:t>
                  </w:r>
                </w:p>
              </w:tc>
              <w:tc>
                <w:tcPr/>
                <w:p>
                  <w:pPr>
                    <w:pStyle w:val="Compact"/>
                    <w:jc w:val="left"/>
                    <w:jc w:val="center"/>
                  </w:pPr>
                  <w:r>
                    <w:t xml:space="preserve">3,641</w:t>
                  </w:r>
                </w:p>
              </w:tc>
              <w:tc>
                <w:tcPr/>
                <w:p>
                  <w:pPr>
                    <w:pStyle w:val="Compact"/>
                    <w:jc w:val="left"/>
                    <w:jc w:val="center"/>
                  </w:pPr>
                  <w:r>
                    <w:t xml:space="preserve">2.8%</w:t>
                  </w:r>
                </w:p>
              </w:tc>
            </w:tr>
          </w:tbl>
          <w:p>
            <w:pPr>
              <w:jc w:val="center"/>
            </w:pPr>
            <w:pPr>
              <w:jc w:val="left"/>
              <w:spacing w:before="200"/>
              <w:pStyle w:val="ImageCaption"/>
            </w:pPr>
            <w:r>
              <w:t xml:space="preserve">Table 2: Source: Auckland Council Animal Management data.</w:t>
            </w:r>
          </w:p>
          <w:bookmarkEnd w:id="15"/>
        </w:tc>
      </w:tr>
    </w:tbl>
    <w:p>
      <w:pPr>
        <w:pStyle w:val="BodyText"/>
      </w:pPr>
      <w:r>
        <w:rPr>
          <w:vertAlign w:val="subscript"/>
        </w:rPr>
        <w:t xml:space="preserve">Source:</w:t>
      </w:r>
      <w:r>
        <w:rPr>
          <w:vertAlign w:val="subscript"/>
        </w:rPr>
        <w:t xml:space="preserve"> </w:t>
      </w:r>
      <w:hyperlink r:id="rId16">
        <w:r>
          <w:rPr>
            <w:rStyle w:val="Hyperlink"/>
            <w:vertAlign w:val="subscript"/>
          </w:rPr>
          <w:t xml:space="preserve">Data Analysis</w:t>
        </w:r>
      </w:hyperlink>
    </w:p>
    <w:bookmarkEnd w:id="17"/>
    <w:bookmarkStart w:id="23" w:name="dog-attacks"/>
    <w:p>
      <w:pPr>
        <w:pStyle w:val="Heading2"/>
      </w:pPr>
      <w:r>
        <w:t xml:space="preserve">4 Dog Attacks</w:t>
      </w:r>
    </w:p>
    <w:p>
      <w:pPr>
        <w:pStyle w:val="FirstParagraph"/>
      </w:pPr>
      <w:r>
        <w:t xml:space="preserve">The rate of dog attacks have almost doubled since 2016, from 6 attacks for every 1,000 dogs, to 10 attacks for every 1,000 dogs in 2025.</w:t>
      </w:r>
    </w:p>
    <w:p>
      <w:pPr>
        <w:pStyle w:val="BodyText"/>
      </w:pPr>
      <w:bookmarkStart w:id="21" w:name="attacks-plot"/>
      <w:r>
        <w:drawing>
          <wp:inline>
            <wp:extent cx="5334000" cy="3810000"/>
            <wp:effectExtent b="0" l="0" r="0" t="0"/>
            <wp:docPr descr="" title="" id="19" name="Picture"/>
            <a:graphic>
              <a:graphicData uri="http://schemas.openxmlformats.org/drawingml/2006/picture">
                <pic:pic>
                  <pic:nvPicPr>
                    <pic:cNvPr descr="index_files/figure-docx/notebooks-data-analysis-attacks-plot-output-1.png" id="20" name="Picture"/>
                    <pic:cNvPicPr>
                      <a:picLocks noChangeArrowheads="1" noChangeAspect="1"/>
                    </pic:cNvPicPr>
                  </pic:nvPicPr>
                  <pic:blipFill>
                    <a:blip r:embed="rId18"/>
                    <a:stretch>
                      <a:fillRect/>
                    </a:stretch>
                  </pic:blipFill>
                  <pic:spPr bwMode="auto">
                    <a:xfrm>
                      <a:off x="0" y="0"/>
                      <a:ext cx="5334000" cy="3810000"/>
                    </a:xfrm>
                    <a:prstGeom prst="rect">
                      <a:avLst/>
                    </a:prstGeom>
                    <a:noFill/>
                    <a:ln w="9525">
                      <a:noFill/>
                      <a:headEnd/>
                      <a:tailEnd/>
                    </a:ln>
                  </pic:spPr>
                </pic:pic>
              </a:graphicData>
            </a:graphic>
          </wp:inline>
        </w:drawing>
      </w:r>
      <w:bookmarkEnd w:id="21"/>
    </w:p>
    <w:p>
      <w:pPr>
        <w:pStyle w:val="BodyText"/>
      </w:pPr>
      <w:r>
        <w:rPr>
          <w:vertAlign w:val="subscript"/>
        </w:rPr>
        <w:t xml:space="preserve">Source:</w:t>
      </w:r>
      <w:r>
        <w:rPr>
          <w:vertAlign w:val="subscript"/>
        </w:rPr>
        <w:t xml:space="preserve"> </w:t>
      </w:r>
      <w:hyperlink r:id="rId22">
        <w:r>
          <w:rPr>
            <w:rStyle w:val="Hyperlink"/>
            <w:vertAlign w:val="subscript"/>
          </w:rPr>
          <w:t xml:space="preserve">Data Analysis</w:t>
        </w:r>
      </w:hyperlink>
    </w:p>
    <w:p>
      <w:pPr>
        <w:pStyle w:val="BodyText"/>
      </w:pPr>
      <w:r>
        <w:t xml:space="preserve">When Auckland Council Animal Management officers impound a dog because it has attacked a person, the attack severity is measured on a scale from 0 to 5. In all impounds for attacks in 2024 (the most recent year for the full impound data), Pit Bull Terriers or Staffordshire Terriers were responsible for the highest or second highest numbers of attacks in each severity category.</w:t>
      </w:r>
    </w:p>
    <w:bookmarkEnd w:id="23"/>
    <w:bookmarkStart w:id="38" w:name="impounds"/>
    <w:p>
      <w:pPr>
        <w:pStyle w:val="Heading2"/>
      </w:pPr>
      <w:r>
        <w:t xml:space="preserve">5 Impounds</w:t>
      </w:r>
    </w:p>
    <w:p>
      <w:pPr>
        <w:pStyle w:val="FirstParagraph"/>
      </w:pPr>
      <w:r>
        <w:t xml:space="preserve">The rate of impounds per 1,000 dogs in the population reached 77.9 in 2025, the highest ever.</w:t>
      </w:r>
    </w:p>
    <w:tbl>
      <w:tblPr>
        <w:tblStyle w:val="Table"/>
        <w:tblW w:type="pct" w:w="5000"/>
        <w:tblLayout w:type="fixed"/>
        <w:tblLook w:firstRow="0" w:lastRow="0" w:firstColumn="0" w:lastColumn="0" w:noHBand="0" w:noVBand="0" w:val="0000"/>
      </w:tblPr>
      <w:tblGrid>
        <w:gridCol w:w="7920"/>
      </w:tblGrid>
      <w:tr>
        <w:tc>
          <w:tcPr/>
          <w:bookmarkStart w:id="24" w:name="tbl-impound-rate"/>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right"/>
                    <w:jc w:val="center"/>
                  </w:pPr>
                  <w:r>
                    <w:t xml:space="preserve">Year</w:t>
                  </w:r>
                </w:p>
              </w:tc>
              <w:tc>
                <w:tcPr/>
                <w:p>
                  <w:pPr>
                    <w:pStyle w:val="Compact"/>
                    <w:jc w:val="left"/>
                    <w:jc w:val="center"/>
                  </w:pPr>
                  <w:r>
                    <w:t xml:space="preserve">Known Dogs</w:t>
                  </w:r>
                </w:p>
              </w:tc>
              <w:tc>
                <w:tcPr/>
                <w:p>
                  <w:pPr>
                    <w:pStyle w:val="Compact"/>
                    <w:jc w:val="left"/>
                    <w:jc w:val="center"/>
                  </w:pPr>
                  <w:r>
                    <w:t xml:space="preserve">Impounded Dogs</w:t>
                  </w:r>
                </w:p>
              </w:tc>
              <w:tc>
                <w:tcPr/>
                <w:p>
                  <w:pPr>
                    <w:pStyle w:val="Compact"/>
                    <w:jc w:val="right"/>
                    <w:jc w:val="center"/>
                  </w:pPr>
                  <w:r>
                    <w:t xml:space="preserve">Impound Rate</w:t>
                  </w:r>
                </w:p>
              </w:tc>
            </w:tr>
            <w:tr>
              <w:tc>
                <w:tcPr/>
                <w:p>
                  <w:pPr>
                    <w:pStyle w:val="Compact"/>
                    <w:jc w:val="right"/>
                    <w:jc w:val="center"/>
                  </w:pPr>
                  <w:r>
                    <w:t xml:space="preserve">2025</w:t>
                  </w:r>
                </w:p>
              </w:tc>
              <w:tc>
                <w:tcPr/>
                <w:p>
                  <w:pPr>
                    <w:pStyle w:val="Compact"/>
                    <w:jc w:val="left"/>
                    <w:jc w:val="center"/>
                  </w:pPr>
                  <w:r>
                    <w:t xml:space="preserve">131,123</w:t>
                  </w:r>
                </w:p>
              </w:tc>
              <w:tc>
                <w:tcPr/>
                <w:p>
                  <w:pPr>
                    <w:pStyle w:val="Compact"/>
                    <w:jc w:val="left"/>
                    <w:jc w:val="center"/>
                  </w:pPr>
                  <w:r>
                    <w:t xml:space="preserve">10,214</w:t>
                  </w:r>
                </w:p>
              </w:tc>
              <w:tc>
                <w:tcPr/>
                <w:p>
                  <w:pPr>
                    <w:pStyle w:val="Compact"/>
                    <w:jc w:val="right"/>
                    <w:jc w:val="center"/>
                  </w:pPr>
                  <w:r>
                    <w:t xml:space="preserve">77.9</w:t>
                  </w:r>
                </w:p>
              </w:tc>
            </w:tr>
            <w:tr>
              <w:tc>
                <w:tcPr/>
                <w:p>
                  <w:pPr>
                    <w:pStyle w:val="Compact"/>
                    <w:jc w:val="right"/>
                    <w:jc w:val="center"/>
                  </w:pPr>
                  <w:r>
                    <w:t xml:space="preserve">2024</w:t>
                  </w:r>
                </w:p>
              </w:tc>
              <w:tc>
                <w:tcPr/>
                <w:p>
                  <w:pPr>
                    <w:pStyle w:val="Compact"/>
                    <w:jc w:val="left"/>
                    <w:jc w:val="center"/>
                  </w:pPr>
                  <w:r>
                    <w:t xml:space="preserve">135,546</w:t>
                  </w:r>
                </w:p>
              </w:tc>
              <w:tc>
                <w:tcPr/>
                <w:p>
                  <w:pPr>
                    <w:pStyle w:val="Compact"/>
                    <w:jc w:val="left"/>
                    <w:jc w:val="center"/>
                  </w:pPr>
                  <w:r>
                    <w:t xml:space="preserve">8,306</w:t>
                  </w:r>
                </w:p>
              </w:tc>
              <w:tc>
                <w:tcPr/>
                <w:p>
                  <w:pPr>
                    <w:pStyle w:val="Compact"/>
                    <w:jc w:val="right"/>
                    <w:jc w:val="center"/>
                  </w:pPr>
                  <w:r>
                    <w:t xml:space="preserve">61.3</w:t>
                  </w:r>
                </w:p>
              </w:tc>
            </w:tr>
            <w:tr>
              <w:tc>
                <w:tcPr/>
                <w:p>
                  <w:pPr>
                    <w:pStyle w:val="Compact"/>
                    <w:jc w:val="right"/>
                    <w:jc w:val="center"/>
                  </w:pPr>
                  <w:r>
                    <w:t xml:space="preserve">2023</w:t>
                  </w:r>
                </w:p>
              </w:tc>
              <w:tc>
                <w:tcPr/>
                <w:p>
                  <w:pPr>
                    <w:pStyle w:val="Compact"/>
                    <w:jc w:val="left"/>
                    <w:jc w:val="center"/>
                  </w:pPr>
                  <w:r>
                    <w:t xml:space="preserve">131,795</w:t>
                  </w:r>
                </w:p>
              </w:tc>
              <w:tc>
                <w:tcPr/>
                <w:p>
                  <w:pPr>
                    <w:pStyle w:val="Compact"/>
                    <w:jc w:val="left"/>
                    <w:jc w:val="center"/>
                  </w:pPr>
                  <w:r>
                    <w:t xml:space="preserve">6,596</w:t>
                  </w:r>
                </w:p>
              </w:tc>
              <w:tc>
                <w:tcPr/>
                <w:p>
                  <w:pPr>
                    <w:pStyle w:val="Compact"/>
                    <w:jc w:val="right"/>
                    <w:jc w:val="center"/>
                  </w:pPr>
                  <w:r>
                    <w:t xml:space="preserve">50.0</w:t>
                  </w:r>
                </w:p>
              </w:tc>
            </w:tr>
            <w:tr>
              <w:tc>
                <w:tcPr/>
                <w:p>
                  <w:pPr>
                    <w:pStyle w:val="Compact"/>
                    <w:jc w:val="right"/>
                    <w:jc w:val="center"/>
                  </w:pPr>
                  <w:r>
                    <w:t xml:space="preserve">2022</w:t>
                  </w:r>
                </w:p>
              </w:tc>
              <w:tc>
                <w:tcPr/>
                <w:p>
                  <w:pPr>
                    <w:pStyle w:val="Compact"/>
                    <w:jc w:val="left"/>
                    <w:jc w:val="center"/>
                  </w:pPr>
                  <w:r>
                    <w:t xml:space="preserve">125,016</w:t>
                  </w:r>
                </w:p>
              </w:tc>
              <w:tc>
                <w:tcPr/>
                <w:p>
                  <w:pPr>
                    <w:pStyle w:val="Compact"/>
                    <w:jc w:val="left"/>
                    <w:jc w:val="center"/>
                  </w:pPr>
                  <w:r>
                    <w:t xml:space="preserve">5,012</w:t>
                  </w:r>
                </w:p>
              </w:tc>
              <w:tc>
                <w:tcPr/>
                <w:p>
                  <w:pPr>
                    <w:pStyle w:val="Compact"/>
                    <w:jc w:val="right"/>
                    <w:jc w:val="center"/>
                  </w:pPr>
                  <w:r>
                    <w:t xml:space="preserve">40.1</w:t>
                  </w:r>
                </w:p>
              </w:tc>
            </w:tr>
            <w:tr>
              <w:tc>
                <w:tcPr/>
                <w:p>
                  <w:pPr>
                    <w:pStyle w:val="Compact"/>
                    <w:jc w:val="right"/>
                    <w:jc w:val="center"/>
                  </w:pPr>
                  <w:r>
                    <w:t xml:space="preserve">2021</w:t>
                  </w:r>
                </w:p>
              </w:tc>
              <w:tc>
                <w:tcPr/>
                <w:p>
                  <w:pPr>
                    <w:pStyle w:val="Compact"/>
                    <w:jc w:val="left"/>
                    <w:jc w:val="center"/>
                  </w:pPr>
                  <w:r>
                    <w:t xml:space="preserve">118,552</w:t>
                  </w:r>
                </w:p>
              </w:tc>
              <w:tc>
                <w:tcPr/>
                <w:p>
                  <w:pPr>
                    <w:pStyle w:val="Compact"/>
                    <w:jc w:val="left"/>
                    <w:jc w:val="center"/>
                  </w:pPr>
                  <w:r>
                    <w:t xml:space="preserve">5,228</w:t>
                  </w:r>
                </w:p>
              </w:tc>
              <w:tc>
                <w:tcPr/>
                <w:p>
                  <w:pPr>
                    <w:pStyle w:val="Compact"/>
                    <w:jc w:val="right"/>
                    <w:jc w:val="center"/>
                  </w:pPr>
                  <w:r>
                    <w:t xml:space="preserve">44.1</w:t>
                  </w:r>
                </w:p>
              </w:tc>
            </w:tr>
            <w:tr>
              <w:tc>
                <w:tcPr/>
                <w:p>
                  <w:pPr>
                    <w:pStyle w:val="Compact"/>
                    <w:jc w:val="right"/>
                    <w:jc w:val="center"/>
                  </w:pPr>
                  <w:r>
                    <w:t xml:space="preserve">2020</w:t>
                  </w:r>
                </w:p>
              </w:tc>
              <w:tc>
                <w:tcPr/>
                <w:p>
                  <w:pPr>
                    <w:pStyle w:val="Compact"/>
                    <w:jc w:val="left"/>
                    <w:jc w:val="center"/>
                  </w:pPr>
                  <w:r>
                    <w:t xml:space="preserve">112,530</w:t>
                  </w:r>
                </w:p>
              </w:tc>
              <w:tc>
                <w:tcPr/>
                <w:p>
                  <w:pPr>
                    <w:pStyle w:val="Compact"/>
                    <w:jc w:val="left"/>
                    <w:jc w:val="center"/>
                  </w:pPr>
                  <w:r>
                    <w:t xml:space="preserve">5,492</w:t>
                  </w:r>
                </w:p>
              </w:tc>
              <w:tc>
                <w:tcPr/>
                <w:p>
                  <w:pPr>
                    <w:pStyle w:val="Compact"/>
                    <w:jc w:val="right"/>
                    <w:jc w:val="center"/>
                  </w:pPr>
                  <w:r>
                    <w:t xml:space="preserve">48.8</w:t>
                  </w:r>
                </w:p>
              </w:tc>
            </w:tr>
            <w:tr>
              <w:tc>
                <w:tcPr/>
                <w:p>
                  <w:pPr>
                    <w:pStyle w:val="Compact"/>
                    <w:jc w:val="right"/>
                    <w:jc w:val="center"/>
                  </w:pPr>
                  <w:r>
                    <w:t xml:space="preserve">2019</w:t>
                  </w:r>
                </w:p>
              </w:tc>
              <w:tc>
                <w:tcPr/>
                <w:p>
                  <w:pPr>
                    <w:pStyle w:val="Compact"/>
                    <w:jc w:val="left"/>
                    <w:jc w:val="center"/>
                  </w:pPr>
                  <w:r>
                    <w:t xml:space="preserve">110,969</w:t>
                  </w:r>
                </w:p>
              </w:tc>
              <w:tc>
                <w:tcPr/>
                <w:p>
                  <w:pPr>
                    <w:pStyle w:val="Compact"/>
                    <w:jc w:val="left"/>
                    <w:jc w:val="center"/>
                  </w:pPr>
                  <w:r>
                    <w:t xml:space="preserve">6,833</w:t>
                  </w:r>
                </w:p>
              </w:tc>
              <w:tc>
                <w:tcPr/>
                <w:p>
                  <w:pPr>
                    <w:pStyle w:val="Compact"/>
                    <w:jc w:val="right"/>
                    <w:jc w:val="center"/>
                  </w:pPr>
                  <w:r>
                    <w:t xml:space="preserve">61.6</w:t>
                  </w:r>
                </w:p>
              </w:tc>
            </w:tr>
            <w:tr>
              <w:tc>
                <w:tcPr/>
                <w:p>
                  <w:pPr>
                    <w:pStyle w:val="Compact"/>
                    <w:jc w:val="right"/>
                    <w:jc w:val="center"/>
                  </w:pPr>
                  <w:r>
                    <w:t xml:space="preserve">2018</w:t>
                  </w:r>
                </w:p>
              </w:tc>
              <w:tc>
                <w:tcPr/>
                <w:p>
                  <w:pPr>
                    <w:pStyle w:val="Compact"/>
                    <w:jc w:val="left"/>
                    <w:jc w:val="center"/>
                  </w:pPr>
                  <w:r>
                    <w:t xml:space="preserve">110,012</w:t>
                  </w:r>
                </w:p>
              </w:tc>
              <w:tc>
                <w:tcPr/>
                <w:p>
                  <w:pPr>
                    <w:pStyle w:val="Compact"/>
                    <w:jc w:val="left"/>
                    <w:jc w:val="center"/>
                  </w:pPr>
                  <w:r>
                    <w:t xml:space="preserve">7,457</w:t>
                  </w:r>
                </w:p>
              </w:tc>
              <w:tc>
                <w:tcPr/>
                <w:p>
                  <w:pPr>
                    <w:pStyle w:val="Compact"/>
                    <w:jc w:val="right"/>
                    <w:jc w:val="center"/>
                  </w:pPr>
                  <w:r>
                    <w:t xml:space="preserve">67.8</w:t>
                  </w:r>
                </w:p>
              </w:tc>
            </w:tr>
            <w:tr>
              <w:tc>
                <w:tcPr/>
                <w:p>
                  <w:pPr>
                    <w:pStyle w:val="Compact"/>
                    <w:jc w:val="right"/>
                    <w:jc w:val="center"/>
                  </w:pPr>
                  <w:r>
                    <w:t xml:space="preserve">2017</w:t>
                  </w:r>
                </w:p>
              </w:tc>
              <w:tc>
                <w:tcPr/>
                <w:p>
                  <w:pPr>
                    <w:pStyle w:val="Compact"/>
                    <w:jc w:val="left"/>
                    <w:jc w:val="center"/>
                  </w:pPr>
                  <w:r>
                    <w:t xml:space="preserve">115,544</w:t>
                  </w:r>
                </w:p>
              </w:tc>
              <w:tc>
                <w:tcPr/>
                <w:p>
                  <w:pPr>
                    <w:pStyle w:val="Compact"/>
                    <w:jc w:val="left"/>
                    <w:jc w:val="center"/>
                  </w:pPr>
                  <w:r>
                    <w:t xml:space="preserve">8,416</w:t>
                  </w:r>
                </w:p>
              </w:tc>
              <w:tc>
                <w:tcPr/>
                <w:p>
                  <w:pPr>
                    <w:pStyle w:val="Compact"/>
                    <w:jc w:val="right"/>
                    <w:jc w:val="center"/>
                  </w:pPr>
                  <w:r>
                    <w:t xml:space="preserve">72.8</w:t>
                  </w:r>
                </w:p>
              </w:tc>
            </w:tr>
            <w:tr>
              <w:tc>
                <w:tcPr/>
                <w:p>
                  <w:pPr>
                    <w:pStyle w:val="Compact"/>
                    <w:jc w:val="right"/>
                    <w:jc w:val="center"/>
                  </w:pPr>
                  <w:r>
                    <w:t xml:space="preserve">2016</w:t>
                  </w:r>
                </w:p>
              </w:tc>
              <w:tc>
                <w:tcPr/>
                <w:p>
                  <w:pPr>
                    <w:pStyle w:val="Compact"/>
                    <w:jc w:val="left"/>
                    <w:jc w:val="center"/>
                  </w:pPr>
                  <w:r>
                    <w:t xml:space="preserve">114,519</w:t>
                  </w:r>
                </w:p>
              </w:tc>
              <w:tc>
                <w:tcPr/>
                <w:p>
                  <w:pPr>
                    <w:pStyle w:val="Compact"/>
                    <w:jc w:val="left"/>
                    <w:jc w:val="center"/>
                  </w:pPr>
                  <w:r>
                    <w:t xml:space="preserve">8,614</w:t>
                  </w:r>
                </w:p>
              </w:tc>
              <w:tc>
                <w:tcPr/>
                <w:p>
                  <w:pPr>
                    <w:pStyle w:val="Compact"/>
                    <w:jc w:val="right"/>
                    <w:jc w:val="center"/>
                  </w:pPr>
                  <w:r>
                    <w:t xml:space="preserve">75.2</w:t>
                  </w:r>
                </w:p>
              </w:tc>
            </w:tr>
            <w:tr>
              <w:tc>
                <w:tcPr/>
                <w:p>
                  <w:pPr>
                    <w:pStyle w:val="Compact"/>
                    <w:jc w:val="right"/>
                    <w:jc w:val="center"/>
                  </w:pPr>
                  <w:r>
                    <w:t xml:space="preserve">2015</w:t>
                  </w:r>
                </w:p>
              </w:tc>
              <w:tc>
                <w:tcPr/>
                <w:p>
                  <w:pPr>
                    <w:pStyle w:val="Compact"/>
                    <w:jc w:val="left"/>
                    <w:jc w:val="center"/>
                  </w:pPr>
                  <w:r>
                    <w:t xml:space="preserve">109,840</w:t>
                  </w:r>
                </w:p>
              </w:tc>
              <w:tc>
                <w:tcPr/>
                <w:p>
                  <w:pPr>
                    <w:pStyle w:val="Compact"/>
                    <w:jc w:val="left"/>
                    <w:jc w:val="center"/>
                  </w:pPr>
                  <w:r>
                    <w:t xml:space="preserve">9,432</w:t>
                  </w:r>
                </w:p>
              </w:tc>
              <w:tc>
                <w:tcPr/>
                <w:p>
                  <w:pPr>
                    <w:pStyle w:val="Compact"/>
                    <w:jc w:val="right"/>
                    <w:jc w:val="center"/>
                  </w:pPr>
                  <w:r>
                    <w:t xml:space="preserve">85.9</w:t>
                  </w:r>
                </w:p>
              </w:tc>
            </w:tr>
            <w:tr>
              <w:tc>
                <w:tcPr/>
                <w:p>
                  <w:pPr>
                    <w:pStyle w:val="Compact"/>
                    <w:jc w:val="right"/>
                    <w:jc w:val="center"/>
                  </w:pPr>
                  <w:r>
                    <w:t xml:space="preserve">2014</w:t>
                  </w:r>
                </w:p>
              </w:tc>
              <w:tc>
                <w:tcPr/>
                <w:p>
                  <w:pPr>
                    <w:pStyle w:val="Compact"/>
                    <w:jc w:val="left"/>
                    <w:jc w:val="center"/>
                  </w:pPr>
                  <w:r>
                    <w:t xml:space="preserve">105,095</w:t>
                  </w:r>
                </w:p>
              </w:tc>
              <w:tc>
                <w:tcPr/>
                <w:p>
                  <w:pPr>
                    <w:pStyle w:val="Compact"/>
                    <w:jc w:val="left"/>
                    <w:jc w:val="center"/>
                  </w:pPr>
                  <w:r>
                    <w:t xml:space="preserve">7,373</w:t>
                  </w:r>
                </w:p>
              </w:tc>
              <w:tc>
                <w:tcPr/>
                <w:p>
                  <w:pPr>
                    <w:pStyle w:val="Compact"/>
                    <w:jc w:val="right"/>
                    <w:jc w:val="center"/>
                  </w:pPr>
                  <w:r>
                    <w:t xml:space="preserve">70.2</w:t>
                  </w:r>
                </w:p>
              </w:tc>
            </w:tr>
          </w:tbl>
          <w:p>
            <w:pPr>
              <w:jc w:val="center"/>
            </w:pPr>
            <w:pPr>
              <w:jc w:val="left"/>
              <w:spacing w:before="200"/>
              <w:pStyle w:val="ImageCaption"/>
            </w:pPr>
            <w:r>
              <w:t xml:space="preserve">Table 3: Source: Auckland Council Animal Management data.</w:t>
            </w:r>
          </w:p>
          <w:bookmarkEnd w:id="24"/>
        </w:tc>
      </w:tr>
    </w:tbl>
    <w:p>
      <w:pPr>
        <w:pStyle w:val="BodyText"/>
      </w:pPr>
      <w:r>
        <w:rPr>
          <w:vertAlign w:val="subscript"/>
        </w:rPr>
        <w:t xml:space="preserve">Source:</w:t>
      </w:r>
      <w:r>
        <w:rPr>
          <w:vertAlign w:val="subscript"/>
        </w:rPr>
        <w:t xml:space="preserve"> </w:t>
      </w:r>
      <w:hyperlink r:id="rId25">
        <w:r>
          <w:rPr>
            <w:rStyle w:val="Hyperlink"/>
            <w:vertAlign w:val="subscript"/>
          </w:rPr>
          <w:t xml:space="preserve">Data Analysis</w:t>
        </w:r>
      </w:hyperlink>
    </w:p>
    <w:p>
      <w:pPr>
        <w:pStyle w:val="BodyText"/>
      </w:pPr>
      <w:r>
        <w:t xml:space="preserve">The rate of impounds differed markedly by breed, with a 3 times difference even within the top 10.</w:t>
      </w:r>
    </w:p>
    <w:tbl>
      <w:tblPr>
        <w:tblStyle w:val="Table"/>
        <w:tblW w:type="pct" w:w="5000"/>
        <w:tblLayout w:type="fixed"/>
        <w:tblLook w:firstRow="0" w:lastRow="0" w:firstColumn="0" w:lastColumn="0" w:noHBand="0" w:noVBand="0" w:val="0000"/>
      </w:tblPr>
      <w:tblGrid>
        <w:gridCol w:w="7920"/>
      </w:tblGrid>
      <w:tr>
        <w:tc>
          <w:tcPr/>
          <w:bookmarkStart w:id="26" w:name="tbl-impounds-breed"/>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jc w:val="center"/>
                  </w:pPr>
                  <w:r>
                    <w:t xml:space="preserve">Breed</w:t>
                  </w:r>
                </w:p>
              </w:tc>
              <w:tc>
                <w:tcPr/>
                <w:p>
                  <w:pPr>
                    <w:pStyle w:val="Compact"/>
                    <w:jc w:val="left"/>
                    <w:jc w:val="center"/>
                  </w:pPr>
                  <w:r>
                    <w:t xml:space="preserve">Impounds</w:t>
                  </w:r>
                </w:p>
              </w:tc>
              <w:tc>
                <w:tcPr/>
                <w:p>
                  <w:pPr>
                    <w:pStyle w:val="Compact"/>
                    <w:jc w:val="left"/>
                    <w:jc w:val="center"/>
                  </w:pPr>
                  <w:r>
                    <w:t xml:space="preserve">Population</w:t>
                  </w:r>
                </w:p>
              </w:tc>
              <w:tc>
                <w:tcPr/>
                <w:p>
                  <w:pPr>
                    <w:pStyle w:val="Compact"/>
                    <w:jc w:val="right"/>
                    <w:jc w:val="center"/>
                  </w:pPr>
                  <w:r>
                    <w:t xml:space="preserve">Impound Rate</w:t>
                  </w:r>
                </w:p>
              </w:tc>
            </w:tr>
            <w:tr>
              <w:tc>
                <w:tcPr/>
                <w:p>
                  <w:pPr>
                    <w:pStyle w:val="Compact"/>
                    <w:jc w:val="left"/>
                    <w:jc w:val="center"/>
                  </w:pPr>
                  <w:r>
                    <w:t xml:space="preserve">Mastiff</w:t>
                  </w:r>
                </w:p>
              </w:tc>
              <w:tc>
                <w:tcPr/>
                <w:p>
                  <w:pPr>
                    <w:pStyle w:val="Compact"/>
                    <w:jc w:val="left"/>
                    <w:jc w:val="center"/>
                  </w:pPr>
                  <w:r>
                    <w:t xml:space="preserve">486</w:t>
                  </w:r>
                </w:p>
              </w:tc>
              <w:tc>
                <w:tcPr/>
                <w:p>
                  <w:pPr>
                    <w:pStyle w:val="Compact"/>
                    <w:jc w:val="left"/>
                    <w:jc w:val="center"/>
                  </w:pPr>
                  <w:r>
                    <w:t xml:space="preserve">1,526</w:t>
                  </w:r>
                </w:p>
              </w:tc>
              <w:tc>
                <w:tcPr/>
                <w:p>
                  <w:pPr>
                    <w:pStyle w:val="Compact"/>
                    <w:jc w:val="right"/>
                    <w:jc w:val="center"/>
                  </w:pPr>
                  <w:r>
                    <w:t xml:space="preserve">318.5</w:t>
                  </w:r>
                </w:p>
              </w:tc>
            </w:tr>
            <w:tr>
              <w:tc>
                <w:tcPr/>
                <w:p>
                  <w:pPr>
                    <w:pStyle w:val="Compact"/>
                    <w:jc w:val="left"/>
                    <w:jc w:val="center"/>
                  </w:pPr>
                  <w:r>
                    <w:t xml:space="preserve">Staffordshire Bull Terrier</w:t>
                  </w:r>
                </w:p>
              </w:tc>
              <w:tc>
                <w:tcPr/>
                <w:p>
                  <w:pPr>
                    <w:pStyle w:val="Compact"/>
                    <w:jc w:val="left"/>
                    <w:jc w:val="center"/>
                  </w:pPr>
                  <w:r>
                    <w:t xml:space="preserve">1,972</w:t>
                  </w:r>
                </w:p>
              </w:tc>
              <w:tc>
                <w:tcPr/>
                <w:p>
                  <w:pPr>
                    <w:pStyle w:val="Compact"/>
                    <w:jc w:val="left"/>
                    <w:jc w:val="center"/>
                  </w:pPr>
                  <w:r>
                    <w:t xml:space="preserve">8,474</w:t>
                  </w:r>
                </w:p>
              </w:tc>
              <w:tc>
                <w:tcPr/>
                <w:p>
                  <w:pPr>
                    <w:pStyle w:val="Compact"/>
                    <w:jc w:val="right"/>
                    <w:jc w:val="center"/>
                  </w:pPr>
                  <w:r>
                    <w:t xml:space="preserve">232.7</w:t>
                  </w:r>
                </w:p>
              </w:tc>
            </w:tr>
            <w:tr>
              <w:tc>
                <w:tcPr/>
                <w:p>
                  <w:pPr>
                    <w:pStyle w:val="Compact"/>
                    <w:jc w:val="left"/>
                    <w:jc w:val="center"/>
                  </w:pPr>
                  <w:r>
                    <w:t xml:space="preserve">Shar Pei</w:t>
                  </w:r>
                </w:p>
              </w:tc>
              <w:tc>
                <w:tcPr/>
                <w:p>
                  <w:pPr>
                    <w:pStyle w:val="Compact"/>
                    <w:jc w:val="left"/>
                    <w:jc w:val="center"/>
                  </w:pPr>
                  <w:r>
                    <w:t xml:space="preserve">494</w:t>
                  </w:r>
                </w:p>
              </w:tc>
              <w:tc>
                <w:tcPr/>
                <w:p>
                  <w:pPr>
                    <w:pStyle w:val="Compact"/>
                    <w:jc w:val="left"/>
                    <w:jc w:val="center"/>
                  </w:pPr>
                  <w:r>
                    <w:t xml:space="preserve">2,445</w:t>
                  </w:r>
                </w:p>
              </w:tc>
              <w:tc>
                <w:tcPr/>
                <w:p>
                  <w:pPr>
                    <w:pStyle w:val="Compact"/>
                    <w:jc w:val="right"/>
                    <w:jc w:val="center"/>
                  </w:pPr>
                  <w:r>
                    <w:t xml:space="preserve">202.0</w:t>
                  </w:r>
                </w:p>
              </w:tc>
            </w:tr>
            <w:tr>
              <w:tc>
                <w:tcPr/>
                <w:p>
                  <w:pPr>
                    <w:pStyle w:val="Compact"/>
                    <w:jc w:val="left"/>
                    <w:jc w:val="center"/>
                  </w:pPr>
                  <w:r>
                    <w:t xml:space="preserve">American Bulldog</w:t>
                  </w:r>
                </w:p>
              </w:tc>
              <w:tc>
                <w:tcPr/>
                <w:p>
                  <w:pPr>
                    <w:pStyle w:val="Compact"/>
                    <w:jc w:val="left"/>
                    <w:jc w:val="center"/>
                  </w:pPr>
                  <w:r>
                    <w:t xml:space="preserve">285</w:t>
                  </w:r>
                </w:p>
              </w:tc>
              <w:tc>
                <w:tcPr/>
                <w:p>
                  <w:pPr>
                    <w:pStyle w:val="Compact"/>
                    <w:jc w:val="left"/>
                    <w:jc w:val="center"/>
                  </w:pPr>
                  <w:r>
                    <w:t xml:space="preserve">1,707</w:t>
                  </w:r>
                </w:p>
              </w:tc>
              <w:tc>
                <w:tcPr/>
                <w:p>
                  <w:pPr>
                    <w:pStyle w:val="Compact"/>
                    <w:jc w:val="right"/>
                    <w:jc w:val="center"/>
                  </w:pPr>
                  <w:r>
                    <w:t xml:space="preserve">167.0</w:t>
                  </w:r>
                </w:p>
              </w:tc>
            </w:tr>
            <w:tr>
              <w:tc>
                <w:tcPr/>
                <w:p>
                  <w:pPr>
                    <w:pStyle w:val="Compact"/>
                    <w:jc w:val="left"/>
                    <w:jc w:val="center"/>
                  </w:pPr>
                  <w:r>
                    <w:t xml:space="preserve">American Staffordshire Terrier</w:t>
                  </w:r>
                </w:p>
              </w:tc>
              <w:tc>
                <w:tcPr/>
                <w:p>
                  <w:pPr>
                    <w:pStyle w:val="Compact"/>
                    <w:jc w:val="left"/>
                    <w:jc w:val="center"/>
                  </w:pPr>
                  <w:r>
                    <w:t xml:space="preserve">336</w:t>
                  </w:r>
                </w:p>
              </w:tc>
              <w:tc>
                <w:tcPr/>
                <w:p>
                  <w:pPr>
                    <w:pStyle w:val="Compact"/>
                    <w:jc w:val="left"/>
                    <w:jc w:val="center"/>
                  </w:pPr>
                  <w:r>
                    <w:t xml:space="preserve">2,297</w:t>
                  </w:r>
                </w:p>
              </w:tc>
              <w:tc>
                <w:tcPr/>
                <w:p>
                  <w:pPr>
                    <w:pStyle w:val="Compact"/>
                    <w:jc w:val="right"/>
                    <w:jc w:val="center"/>
                  </w:pPr>
                  <w:r>
                    <w:t xml:space="preserve">146.3</w:t>
                  </w:r>
                </w:p>
              </w:tc>
            </w:tr>
            <w:tr>
              <w:tc>
                <w:tcPr/>
                <w:p>
                  <w:pPr>
                    <w:pStyle w:val="Compact"/>
                    <w:jc w:val="left"/>
                    <w:jc w:val="center"/>
                  </w:pPr>
                  <w:r>
                    <w:t xml:space="preserve">Bearded Collie</w:t>
                  </w:r>
                </w:p>
              </w:tc>
              <w:tc>
                <w:tcPr/>
                <w:p>
                  <w:pPr>
                    <w:pStyle w:val="Compact"/>
                    <w:jc w:val="left"/>
                    <w:jc w:val="center"/>
                  </w:pPr>
                  <w:r>
                    <w:t xml:space="preserve">91</w:t>
                  </w:r>
                </w:p>
              </w:tc>
              <w:tc>
                <w:tcPr/>
                <w:p>
                  <w:pPr>
                    <w:pStyle w:val="Compact"/>
                    <w:jc w:val="left"/>
                    <w:jc w:val="center"/>
                  </w:pPr>
                  <w:r>
                    <w:t xml:space="preserve">673</w:t>
                  </w:r>
                </w:p>
              </w:tc>
              <w:tc>
                <w:tcPr/>
                <w:p>
                  <w:pPr>
                    <w:pStyle w:val="Compact"/>
                    <w:jc w:val="right"/>
                    <w:jc w:val="center"/>
                  </w:pPr>
                  <w:r>
                    <w:t xml:space="preserve">135.2</w:t>
                  </w:r>
                </w:p>
              </w:tc>
            </w:tr>
            <w:tr>
              <w:tc>
                <w:tcPr/>
                <w:p>
                  <w:pPr>
                    <w:pStyle w:val="Compact"/>
                    <w:jc w:val="left"/>
                    <w:jc w:val="center"/>
                  </w:pPr>
                  <w:r>
                    <w:t xml:space="preserve">Siberian Husky</w:t>
                  </w:r>
                </w:p>
              </w:tc>
              <w:tc>
                <w:tcPr/>
                <w:p>
                  <w:pPr>
                    <w:pStyle w:val="Compact"/>
                    <w:jc w:val="left"/>
                    <w:jc w:val="center"/>
                  </w:pPr>
                  <w:r>
                    <w:t xml:space="preserve">149</w:t>
                  </w:r>
                </w:p>
              </w:tc>
              <w:tc>
                <w:tcPr/>
                <w:p>
                  <w:pPr>
                    <w:pStyle w:val="Compact"/>
                    <w:jc w:val="left"/>
                    <w:jc w:val="center"/>
                  </w:pPr>
                  <w:r>
                    <w:t xml:space="preserve">1,330</w:t>
                  </w:r>
                </w:p>
              </w:tc>
              <w:tc>
                <w:tcPr/>
                <w:p>
                  <w:pPr>
                    <w:pStyle w:val="Compact"/>
                    <w:jc w:val="right"/>
                    <w:jc w:val="center"/>
                  </w:pPr>
                  <w:r>
                    <w:t xml:space="preserve">112.0</w:t>
                  </w:r>
                </w:p>
              </w:tc>
            </w:tr>
            <w:tr>
              <w:tc>
                <w:tcPr/>
                <w:p>
                  <w:pPr>
                    <w:pStyle w:val="Compact"/>
                    <w:jc w:val="left"/>
                    <w:jc w:val="center"/>
                  </w:pPr>
                  <w:r>
                    <w:t xml:space="preserve">Catahoula Leopard</w:t>
                  </w:r>
                </w:p>
              </w:tc>
              <w:tc>
                <w:tcPr/>
                <w:p>
                  <w:pPr>
                    <w:pStyle w:val="Compact"/>
                    <w:jc w:val="left"/>
                    <w:jc w:val="center"/>
                  </w:pPr>
                  <w:r>
                    <w:t xml:space="preserve">24</w:t>
                  </w:r>
                </w:p>
              </w:tc>
              <w:tc>
                <w:tcPr/>
                <w:p>
                  <w:pPr>
                    <w:pStyle w:val="Compact"/>
                    <w:jc w:val="left"/>
                    <w:jc w:val="center"/>
                  </w:pPr>
                  <w:r>
                    <w:t xml:space="preserve">228</w:t>
                  </w:r>
                </w:p>
              </w:tc>
              <w:tc>
                <w:tcPr/>
                <w:p>
                  <w:pPr>
                    <w:pStyle w:val="Compact"/>
                    <w:jc w:val="right"/>
                    <w:jc w:val="center"/>
                  </w:pPr>
                  <w:r>
                    <w:t xml:space="preserve">105.3</w:t>
                  </w:r>
                </w:p>
              </w:tc>
            </w:tr>
            <w:tr>
              <w:tc>
                <w:tcPr/>
                <w:p>
                  <w:pPr>
                    <w:pStyle w:val="Compact"/>
                    <w:jc w:val="left"/>
                    <w:jc w:val="center"/>
                  </w:pPr>
                  <w:r>
                    <w:t xml:space="preserve">Neapolitan Mastiff</w:t>
                  </w:r>
                </w:p>
              </w:tc>
              <w:tc>
                <w:tcPr/>
                <w:p>
                  <w:pPr>
                    <w:pStyle w:val="Compact"/>
                    <w:jc w:val="left"/>
                    <w:jc w:val="center"/>
                  </w:pPr>
                  <w:r>
                    <w:t xml:space="preserve">29</w:t>
                  </w:r>
                </w:p>
              </w:tc>
              <w:tc>
                <w:tcPr/>
                <w:p>
                  <w:pPr>
                    <w:pStyle w:val="Compact"/>
                    <w:jc w:val="left"/>
                    <w:jc w:val="center"/>
                  </w:pPr>
                  <w:r>
                    <w:t xml:space="preserve">293</w:t>
                  </w:r>
                </w:p>
              </w:tc>
              <w:tc>
                <w:tcPr/>
                <w:p>
                  <w:pPr>
                    <w:pStyle w:val="Compact"/>
                    <w:jc w:val="right"/>
                    <w:jc w:val="center"/>
                  </w:pPr>
                  <w:r>
                    <w:t xml:space="preserve">99.0</w:t>
                  </w:r>
                </w:p>
              </w:tc>
            </w:tr>
            <w:tr>
              <w:tc>
                <w:tcPr/>
                <w:p>
                  <w:pPr>
                    <w:pStyle w:val="Compact"/>
                    <w:jc w:val="left"/>
                    <w:jc w:val="center"/>
                  </w:pPr>
                  <w:r>
                    <w:t xml:space="preserve">Huntaway</w:t>
                  </w:r>
                </w:p>
              </w:tc>
              <w:tc>
                <w:tcPr/>
                <w:p>
                  <w:pPr>
                    <w:pStyle w:val="Compact"/>
                    <w:jc w:val="left"/>
                    <w:jc w:val="center"/>
                  </w:pPr>
                  <w:r>
                    <w:t xml:space="preserve">300</w:t>
                  </w:r>
                </w:p>
              </w:tc>
              <w:tc>
                <w:tcPr/>
                <w:p>
                  <w:pPr>
                    <w:pStyle w:val="Compact"/>
                    <w:jc w:val="left"/>
                    <w:jc w:val="center"/>
                  </w:pPr>
                  <w:r>
                    <w:t xml:space="preserve">3,191</w:t>
                  </w:r>
                </w:p>
              </w:tc>
              <w:tc>
                <w:tcPr/>
                <w:p>
                  <w:pPr>
                    <w:pStyle w:val="Compact"/>
                    <w:jc w:val="right"/>
                    <w:jc w:val="center"/>
                  </w:pPr>
                  <w:r>
                    <w:t xml:space="preserve">94.0</w:t>
                  </w:r>
                </w:p>
              </w:tc>
            </w:tr>
          </w:tbl>
          <w:p>
            <w:pPr>
              <w:jc w:val="center"/>
            </w:pPr>
            <w:pPr>
              <w:jc w:val="left"/>
              <w:spacing w:before="200"/>
              <w:pStyle w:val="ImageCaption"/>
            </w:pPr>
            <w:r>
              <w:t xml:space="preserve">Table 4: Source: Auckland Council Animal Management data.</w:t>
            </w:r>
          </w:p>
          <w:bookmarkEnd w:id="26"/>
        </w:tc>
      </w:tr>
    </w:tbl>
    <w:p>
      <w:pPr>
        <w:pStyle w:val="BodyText"/>
      </w:pPr>
      <w:r>
        <w:rPr>
          <w:vertAlign w:val="subscript"/>
        </w:rPr>
        <w:t xml:space="preserve">Source:</w:t>
      </w:r>
      <w:r>
        <w:rPr>
          <w:vertAlign w:val="subscript"/>
        </w:rPr>
        <w:t xml:space="preserve"> </w:t>
      </w:r>
      <w:hyperlink r:id="rId27">
        <w:r>
          <w:rPr>
            <w:rStyle w:val="Hyperlink"/>
            <w:vertAlign w:val="subscript"/>
          </w:rPr>
          <w:t xml:space="preserve">Data Analysis</w:t>
        </w:r>
      </w:hyperlink>
    </w:p>
    <w:p>
      <w:pPr>
        <w:pStyle w:val="BodyText"/>
      </w:pPr>
      <w:r>
        <w:t xml:space="preserve">The proportion of impounded dogs that were euthanised was steadily dropping between 2014 and 2021, when it reached a low of 21.7%. However, since then it has climbed steadily to 60.8% in 2025.</w:t>
      </w:r>
    </w:p>
    <w:p>
      <w:pPr>
        <w:pStyle w:val="BodyText"/>
      </w:pPr>
      <w:bookmarkStart w:id="31" w:name="impound-outcome"/>
      <w:r>
        <w:drawing>
          <wp:inline>
            <wp:extent cx="5334000" cy="3810000"/>
            <wp:effectExtent b="0" l="0" r="0" t="0"/>
            <wp:docPr descr="" title="" id="29" name="Picture"/>
            <a:graphic>
              <a:graphicData uri="http://schemas.openxmlformats.org/drawingml/2006/picture">
                <pic:pic>
                  <pic:nvPicPr>
                    <pic:cNvPr descr="index_files/figure-docx/notebooks-data-analysis-impound-outcome-output-2.png" id="30" name="Picture"/>
                    <pic:cNvPicPr>
                      <a:picLocks noChangeArrowheads="1" noChangeAspect="1"/>
                    </pic:cNvPicPr>
                  </pic:nvPicPr>
                  <pic:blipFill>
                    <a:blip r:embed="rId28"/>
                    <a:stretch>
                      <a:fillRect/>
                    </a:stretch>
                  </pic:blipFill>
                  <pic:spPr bwMode="auto">
                    <a:xfrm>
                      <a:off x="0" y="0"/>
                      <a:ext cx="5334000" cy="3810000"/>
                    </a:xfrm>
                    <a:prstGeom prst="rect">
                      <a:avLst/>
                    </a:prstGeom>
                    <a:noFill/>
                    <a:ln w="9525">
                      <a:noFill/>
                      <a:headEnd/>
                      <a:tailEnd/>
                    </a:ln>
                  </pic:spPr>
                </pic:pic>
              </a:graphicData>
            </a:graphic>
          </wp:inline>
        </w:drawing>
      </w:r>
      <w:bookmarkEnd w:id="31"/>
    </w:p>
    <w:p>
      <w:pPr>
        <w:pStyle w:val="BodyText"/>
      </w:pPr>
      <w:r>
        <w:rPr>
          <w:vertAlign w:val="subscript"/>
        </w:rPr>
        <w:t xml:space="preserve">Source:</w:t>
      </w:r>
      <w:r>
        <w:rPr>
          <w:vertAlign w:val="subscript"/>
        </w:rPr>
        <w:t xml:space="preserve"> </w:t>
      </w:r>
      <w:hyperlink r:id="rId32">
        <w:r>
          <w:rPr>
            <w:rStyle w:val="Hyperlink"/>
            <w:vertAlign w:val="subscript"/>
          </w:rPr>
          <w:t xml:space="preserve">Data Analysis</w:t>
        </w:r>
      </w:hyperlink>
    </w:p>
    <w:p>
      <w:pPr>
        <w:pStyle w:val="BodyText"/>
      </w:pPr>
      <w:r>
        <w:t xml:space="preserve">Most uncollected dogs were euthanised because they failed a temperament test (50.1%), and were therefore unsuitable for adoption. But a quarter of euthanised dogs were put down because the animal shelter was full.</w:t>
      </w:r>
    </w:p>
    <w:p>
      <w:pPr>
        <w:pStyle w:val="BodyText"/>
      </w:pPr>
      <w:r>
        <w:t xml:space="preserve">Some dog breeds were significantly over-represented in euthanised dogs compared to the overall dog population. For example, Staffordshire Bull Terriers made up just over 6% of the dog population in 2024, but accounted for just over 30% of euthanised dogs in animal shelters. On the other hand, breeds like Labrador Retrievers were under-represented, making up just over 11% of the population but accounting for under 8% of euthanised dogs.</w:t>
      </w:r>
    </w:p>
    <w:p>
      <w:pPr>
        <w:pStyle w:val="BodyText"/>
      </w:pPr>
      <w:bookmarkStart w:id="36" w:name="euth-breed"/>
      <w:r>
        <w:drawing>
          <wp:inline>
            <wp:extent cx="5334000" cy="3810000"/>
            <wp:effectExtent b="0" l="0" r="0" t="0"/>
            <wp:docPr descr="" title="" id="34" name="Picture"/>
            <a:graphic>
              <a:graphicData uri="http://schemas.openxmlformats.org/drawingml/2006/picture">
                <pic:pic>
                  <pic:nvPicPr>
                    <pic:cNvPr descr="index_files/figure-docx/notebooks-data-analysis-euth-breed-output-1.png" id="35" name="Picture"/>
                    <pic:cNvPicPr>
                      <a:picLocks noChangeArrowheads="1" noChangeAspect="1"/>
                    </pic:cNvPicPr>
                  </pic:nvPicPr>
                  <pic:blipFill>
                    <a:blip r:embed="rId33"/>
                    <a:stretch>
                      <a:fillRect/>
                    </a:stretch>
                  </pic:blipFill>
                  <pic:spPr bwMode="auto">
                    <a:xfrm>
                      <a:off x="0" y="0"/>
                      <a:ext cx="5334000" cy="3810000"/>
                    </a:xfrm>
                    <a:prstGeom prst="rect">
                      <a:avLst/>
                    </a:prstGeom>
                    <a:noFill/>
                    <a:ln w="9525">
                      <a:noFill/>
                      <a:headEnd/>
                      <a:tailEnd/>
                    </a:ln>
                  </pic:spPr>
                </pic:pic>
              </a:graphicData>
            </a:graphic>
          </wp:inline>
        </w:drawing>
      </w:r>
      <w:bookmarkEnd w:id="36"/>
    </w:p>
    <w:p>
      <w:pPr>
        <w:pStyle w:val="BodyText"/>
      </w:pPr>
      <w:r>
        <w:rPr>
          <w:vertAlign w:val="subscript"/>
        </w:rPr>
        <w:t xml:space="preserve">Source:</w:t>
      </w:r>
      <w:r>
        <w:rPr>
          <w:vertAlign w:val="subscript"/>
        </w:rPr>
        <w:t xml:space="preserve"> </w:t>
      </w:r>
      <w:hyperlink r:id="rId37">
        <w:r>
          <w:rPr>
            <w:rStyle w:val="Hyperlink"/>
            <w:vertAlign w:val="subscript"/>
          </w:rPr>
          <w:t xml:space="preserve">Data Analysis</w:t>
        </w:r>
      </w:hyperlink>
    </w:p>
    <w:p>
      <w:pPr>
        <w:pStyle w:val="BodyText"/>
      </w:pPr>
      <w:r>
        <w:t xml:space="preserve">The number of infringements issued by Animal Management officers under the Dog Control Act 1996 tripled between 2024 and 2025, from 6,387 to 17,430. The majority were issued for failing to register a dog. Despite this, the number of prosecutions and appeals brought by Animal Management has dropped from around 197 in 2016 to 141 in 2025.</w:t>
      </w:r>
    </w:p>
    <w:bookmarkEnd w:id="38"/>
    <w:bookmarkStart w:id="88" w:name="regional-statistics"/>
    <w:p>
      <w:pPr>
        <w:pStyle w:val="Heading2"/>
      </w:pPr>
      <w:r>
        <w:t xml:space="preserve">6 Regional Statistics</w:t>
      </w:r>
    </w:p>
    <w:p>
      <w:pPr>
        <w:pStyle w:val="FirstParagraph"/>
      </w:pPr>
      <w:r>
        <w:t xml:space="preserve">Auckland’s 21 Local Boards can be grouped into 5 regions (North, South, East, West, and Central).</w:t>
      </w:r>
    </w:p>
    <w:tbl>
      <w:tblPr>
        <w:tblStyle w:val="Table"/>
        <w:tblW w:type="pct" w:w="5000"/>
        <w:tblLayout w:type="fixed"/>
        <w:tblLook w:firstRow="0" w:lastRow="0" w:firstColumn="0" w:lastColumn="0" w:noHBand="0" w:noVBand="0" w:val="0000"/>
      </w:tblPr>
      <w:tblGrid>
        <w:gridCol w:w="7920"/>
      </w:tblGrid>
      <w:tr>
        <w:tc>
          <w:tcPr/>
          <w:bookmarkStart w:id="42" w:name="fig-regions-boards"/>
          <w:p>
            <w:pPr>
              <w:pStyle w:val="Compact"/>
              <w:jc w:val="center"/>
            </w:pPr>
            <w:r>
              <w:drawing>
                <wp:inline>
                  <wp:extent cx="5334000" cy="3810000"/>
                  <wp:effectExtent b="0" l="0" r="0" t="0"/>
                  <wp:docPr descr="" title="" id="40" name="Picture"/>
                  <a:graphic>
                    <a:graphicData uri="http://schemas.openxmlformats.org/drawingml/2006/picture">
                      <pic:pic>
                        <pic:nvPicPr>
                          <pic:cNvPr descr="index_files/figure-docx/notebooks-mapping-fig-regions-boards-output-1.png" id="41" name="Picture"/>
                          <pic:cNvPicPr>
                            <a:picLocks noChangeArrowheads="1" noChangeAspect="1"/>
                          </pic:cNvPicPr>
                        </pic:nvPicPr>
                        <pic:blipFill>
                          <a:blip r:embed="rId39"/>
                          <a:stretch>
                            <a:fillRect/>
                          </a:stretch>
                        </pic:blipFill>
                        <pic:spPr bwMode="auto">
                          <a:xfrm>
                            <a:off x="0" y="0"/>
                            <a:ext cx="5334000" cy="3810000"/>
                          </a:xfrm>
                          <a:prstGeom prst="rect">
                            <a:avLst/>
                          </a:prstGeom>
                          <a:noFill/>
                          <a:ln w="9525">
                            <a:noFill/>
                            <a:headEnd/>
                            <a:tailEnd/>
                          </a:ln>
                        </pic:spPr>
                      </pic:pic>
                    </a:graphicData>
                  </a:graphic>
                </wp:inline>
              </w:drawing>
            </w:r>
          </w:p>
          <w:p>
            <w:pPr>
              <w:jc w:val="center"/>
            </w:pPr>
            <w:pPr>
              <w:jc w:val="left"/>
              <w:spacing w:before="200"/>
              <w:pStyle w:val="ImageCaption"/>
            </w:pPr>
            <w:r>
              <w:t xml:space="preserve">Figure 1: Left: Auckland regions (North = blue, West = red, Central = green, East = orange, South = purple). Right: Auckland’s 21 Local Boards, coloured based on their parent region.</w:t>
            </w:r>
          </w:p>
          <w:bookmarkEnd w:id="42"/>
        </w:tc>
      </w:tr>
    </w:tbl>
    <w:p>
      <w:pPr>
        <w:pStyle w:val="BodyText"/>
      </w:pPr>
      <w:r>
        <w:rPr>
          <w:vertAlign w:val="subscript"/>
        </w:rPr>
        <w:t xml:space="preserve">Source:</w:t>
      </w:r>
      <w:r>
        <w:rPr>
          <w:vertAlign w:val="subscript"/>
        </w:rPr>
        <w:t xml:space="preserve"> </w:t>
      </w:r>
      <w:hyperlink r:id="rId43">
        <w:r>
          <w:rPr>
            <w:rStyle w:val="Hyperlink"/>
            <w:vertAlign w:val="subscript"/>
          </w:rPr>
          <w:t xml:space="preserve">Mapping</w:t>
        </w:r>
      </w:hyperlink>
    </w:p>
    <w:p>
      <w:pPr>
        <w:pStyle w:val="BodyText"/>
      </w:pPr>
      <w:r>
        <w:t xml:space="preserve">Most known dogs are found in the north, and the fewest are in the east.</w:t>
      </w:r>
    </w:p>
    <w:tbl>
      <w:tblPr>
        <w:tblStyle w:val="Table"/>
        <w:tblW w:type="pct" w:w="5000"/>
        <w:tblLayout w:type="fixed"/>
        <w:tblLook w:firstRow="0" w:lastRow="0" w:firstColumn="0" w:lastColumn="0" w:noHBand="0" w:noVBand="0" w:val="0000"/>
      </w:tblPr>
      <w:tblGrid>
        <w:gridCol w:w="7920"/>
      </w:tblGrid>
      <w:tr>
        <w:tc>
          <w:tcPr/>
          <w:bookmarkStart w:id="44" w:name="tbl-region-po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jc w:val="left"/>
                    <w:jc w:val="center"/>
                  </w:pPr>
                  <w:r>
                    <w:t xml:space="preserve">Region</w:t>
                  </w:r>
                </w:p>
              </w:tc>
              <w:tc>
                <w:tcPr/>
                <w:p>
                  <w:pPr>
                    <w:pStyle w:val="Compact"/>
                    <w:jc w:val="left"/>
                    <w:jc w:val="center"/>
                  </w:pPr>
                  <w:r>
                    <w:t xml:space="preserve">Dogs</w:t>
                  </w:r>
                </w:p>
              </w:tc>
              <w:tc>
                <w:tcPr/>
                <w:p>
                  <w:pPr>
                    <w:pStyle w:val="Compact"/>
                    <w:jc w:val="left"/>
                    <w:jc w:val="center"/>
                  </w:pPr>
                  <w:r>
                    <w:t xml:space="preserve">People</w:t>
                  </w:r>
                </w:p>
              </w:tc>
              <w:tc>
                <w:tcPr/>
                <w:p>
                  <w:pPr>
                    <w:pStyle w:val="Compact"/>
                    <w:jc w:val="right"/>
                    <w:jc w:val="center"/>
                  </w:pPr>
                  <w:r>
                    <w:t xml:space="preserve">Dogs Per 1,000 People</w:t>
                  </w:r>
                </w:p>
              </w:tc>
            </w:tr>
            <w:tr>
              <w:tc>
                <w:tcPr/>
                <w:p>
                  <w:pPr>
                    <w:pStyle w:val="Compact"/>
                    <w:jc w:val="left"/>
                    <w:jc w:val="center"/>
                  </w:pPr>
                  <w:r>
                    <w:t xml:space="preserve">North</w:t>
                  </w:r>
                </w:p>
              </w:tc>
              <w:tc>
                <w:tcPr/>
                <w:p>
                  <w:pPr>
                    <w:pStyle w:val="Compact"/>
                    <w:jc w:val="left"/>
                    <w:jc w:val="center"/>
                  </w:pPr>
                  <w:r>
                    <w:t xml:space="preserve">43,051</w:t>
                  </w:r>
                </w:p>
              </w:tc>
              <w:tc>
                <w:tcPr/>
                <w:p>
                  <w:pPr>
                    <w:pStyle w:val="Compact"/>
                    <w:jc w:val="left"/>
                    <w:jc w:val="center"/>
                  </w:pPr>
                  <w:r>
                    <w:t xml:space="preserve">425,487</w:t>
                  </w:r>
                </w:p>
              </w:tc>
              <w:tc>
                <w:tcPr/>
                <w:p>
                  <w:pPr>
                    <w:pStyle w:val="Compact"/>
                    <w:jc w:val="right"/>
                    <w:jc w:val="center"/>
                  </w:pPr>
                  <w:r>
                    <w:t xml:space="preserve">101.18053</w:t>
                  </w:r>
                </w:p>
              </w:tc>
            </w:tr>
            <w:tr>
              <w:tc>
                <w:tcPr/>
                <w:p>
                  <w:pPr>
                    <w:pStyle w:val="Compact"/>
                    <w:jc w:val="left"/>
                    <w:jc w:val="center"/>
                  </w:pPr>
                  <w:r>
                    <w:t xml:space="preserve">South</w:t>
                  </w:r>
                </w:p>
              </w:tc>
              <w:tc>
                <w:tcPr/>
                <w:p>
                  <w:pPr>
                    <w:pStyle w:val="Compact"/>
                    <w:jc w:val="left"/>
                    <w:jc w:val="center"/>
                  </w:pPr>
                  <w:r>
                    <w:t xml:space="preserve">33,754</w:t>
                  </w:r>
                </w:p>
              </w:tc>
              <w:tc>
                <w:tcPr/>
                <w:p>
                  <w:pPr>
                    <w:pStyle w:val="Compact"/>
                    <w:jc w:val="left"/>
                    <w:jc w:val="center"/>
                  </w:pPr>
                  <w:r>
                    <w:t xml:space="preserve">421,050</w:t>
                  </w:r>
                </w:p>
              </w:tc>
              <w:tc>
                <w:tcPr/>
                <w:p>
                  <w:pPr>
                    <w:pStyle w:val="Compact"/>
                    <w:jc w:val="right"/>
                    <w:jc w:val="center"/>
                  </w:pPr>
                  <w:r>
                    <w:t xml:space="preserve">80.16625</w:t>
                  </w:r>
                </w:p>
              </w:tc>
            </w:tr>
            <w:tr>
              <w:tc>
                <w:tcPr/>
                <w:p>
                  <w:pPr>
                    <w:pStyle w:val="Compact"/>
                    <w:jc w:val="left"/>
                    <w:jc w:val="center"/>
                  </w:pPr>
                  <w:r>
                    <w:t xml:space="preserve">Central</w:t>
                  </w:r>
                </w:p>
              </w:tc>
              <w:tc>
                <w:tcPr/>
                <w:p>
                  <w:pPr>
                    <w:pStyle w:val="Compact"/>
                    <w:jc w:val="left"/>
                    <w:jc w:val="center"/>
                  </w:pPr>
                  <w:r>
                    <w:t xml:space="preserve">25,368</w:t>
                  </w:r>
                </w:p>
              </w:tc>
              <w:tc>
                <w:tcPr/>
                <w:p>
                  <w:pPr>
                    <w:pStyle w:val="Compact"/>
                    <w:jc w:val="left"/>
                    <w:jc w:val="center"/>
                  </w:pPr>
                  <w:r>
                    <w:t xml:space="preserve">396,423</w:t>
                  </w:r>
                </w:p>
              </w:tc>
              <w:tc>
                <w:tcPr/>
                <w:p>
                  <w:pPr>
                    <w:pStyle w:val="Compact"/>
                    <w:jc w:val="right"/>
                    <w:jc w:val="center"/>
                  </w:pPr>
                  <w:r>
                    <w:t xml:space="preserve">63.99225</w:t>
                  </w:r>
                </w:p>
              </w:tc>
            </w:tr>
            <w:tr>
              <w:tc>
                <w:tcPr/>
                <w:p>
                  <w:pPr>
                    <w:pStyle w:val="Compact"/>
                    <w:jc w:val="left"/>
                    <w:jc w:val="center"/>
                  </w:pPr>
                  <w:r>
                    <w:t xml:space="preserve">West</w:t>
                  </w:r>
                </w:p>
              </w:tc>
              <w:tc>
                <w:tcPr/>
                <w:p>
                  <w:pPr>
                    <w:pStyle w:val="Compact"/>
                    <w:jc w:val="left"/>
                    <w:jc w:val="center"/>
                  </w:pPr>
                  <w:r>
                    <w:t xml:space="preserve">20,046</w:t>
                  </w:r>
                </w:p>
              </w:tc>
              <w:tc>
                <w:tcPr/>
                <w:p>
                  <w:pPr>
                    <w:pStyle w:val="Compact"/>
                    <w:jc w:val="left"/>
                    <w:jc w:val="center"/>
                  </w:pPr>
                  <w:r>
                    <w:t xml:space="preserve">259,950</w:t>
                  </w:r>
                </w:p>
              </w:tc>
              <w:tc>
                <w:tcPr/>
                <w:p>
                  <w:pPr>
                    <w:pStyle w:val="Compact"/>
                    <w:jc w:val="right"/>
                    <w:jc w:val="center"/>
                  </w:pPr>
                  <w:r>
                    <w:t xml:space="preserve">77.11483</w:t>
                  </w:r>
                </w:p>
              </w:tc>
            </w:tr>
            <w:tr>
              <w:tc>
                <w:tcPr/>
                <w:p>
                  <w:pPr>
                    <w:pStyle w:val="Compact"/>
                    <w:jc w:val="left"/>
                    <w:jc w:val="center"/>
                  </w:pPr>
                  <w:r>
                    <w:t xml:space="preserve">East</w:t>
                  </w:r>
                </w:p>
              </w:tc>
              <w:tc>
                <w:tcPr/>
                <w:p>
                  <w:pPr>
                    <w:pStyle w:val="Compact"/>
                    <w:jc w:val="left"/>
                    <w:jc w:val="center"/>
                  </w:pPr>
                  <w:r>
                    <w:t xml:space="preserve">8,904</w:t>
                  </w:r>
                </w:p>
              </w:tc>
              <w:tc>
                <w:tcPr/>
                <w:p>
                  <w:pPr>
                    <w:pStyle w:val="Compact"/>
                    <w:jc w:val="left"/>
                    <w:jc w:val="center"/>
                  </w:pPr>
                  <w:r>
                    <w:t xml:space="preserve">153,570</w:t>
                  </w:r>
                </w:p>
              </w:tc>
              <w:tc>
                <w:tcPr/>
                <w:p>
                  <w:pPr>
                    <w:pStyle w:val="Compact"/>
                    <w:jc w:val="right"/>
                    <w:jc w:val="center"/>
                  </w:pPr>
                  <w:r>
                    <w:t xml:space="preserve">57.98007</w:t>
                  </w:r>
                </w:p>
              </w:tc>
            </w:tr>
          </w:tbl>
          <w:p>
            <w:pPr>
              <w:jc w:val="center"/>
            </w:pPr>
            <w:pPr>
              <w:jc w:val="left"/>
              <w:spacing w:before="200"/>
              <w:pStyle w:val="ImageCaption"/>
            </w:pPr>
            <w:r>
              <w:t xml:space="preserve">Table 5: Source: Auckland Council Animal Management data.</w:t>
            </w:r>
          </w:p>
          <w:bookmarkEnd w:id="44"/>
        </w:tc>
      </w:tr>
    </w:tbl>
    <w:p>
      <w:pPr>
        <w:pStyle w:val="BodyText"/>
      </w:pPr>
      <w:r>
        <w:rPr>
          <w:vertAlign w:val="subscript"/>
        </w:rPr>
        <w:t xml:space="preserve">Source:</w:t>
      </w:r>
      <w:r>
        <w:rPr>
          <w:vertAlign w:val="subscript"/>
        </w:rPr>
        <w:t xml:space="preserve"> </w:t>
      </w:r>
      <w:hyperlink r:id="rId45">
        <w:r>
          <w:rPr>
            <w:rStyle w:val="Hyperlink"/>
            <w:vertAlign w:val="subscript"/>
          </w:rPr>
          <w:t xml:space="preserve">Data Analysis</w:t>
        </w:r>
      </w:hyperlink>
    </w:p>
    <w:p>
      <w:pPr>
        <w:pStyle w:val="BodyText"/>
      </w:pPr>
      <w:r>
        <w:t xml:space="preserve">Between 2021 and 2025, all Local Board areas experienced an increase in their dog population. While the median increase was 9%, Māngere-Ōtāhuhu and Ōtara-Papatoetoe Local Boards had significantly higher growth based on an analysis of the interquartile range.</w:t>
      </w:r>
    </w:p>
    <w:tbl>
      <w:tblPr>
        <w:tblStyle w:val="Table"/>
        <w:tblW w:type="pct" w:w="5000"/>
        <w:tblLayout w:type="fixed"/>
        <w:tblLook w:firstRow="0" w:lastRow="0" w:firstColumn="0" w:lastColumn="0" w:noHBand="0" w:noVBand="0" w:val="0000"/>
      </w:tblPr>
      <w:tblGrid>
        <w:gridCol w:w="7920"/>
      </w:tblGrid>
      <w:tr>
        <w:tc>
          <w:tcPr/>
          <w:bookmarkStart w:id="46" w:name="tbl-board-po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jc w:val="left"/>
                    <w:jc w:val="center"/>
                  </w:pPr>
                  <w:r>
                    <w:t xml:space="preserve">Local Board</w:t>
                  </w:r>
                </w:p>
              </w:tc>
              <w:tc>
                <w:tcPr/>
                <w:p>
                  <w:pPr>
                    <w:pStyle w:val="Compact"/>
                    <w:jc w:val="left"/>
                    <w:jc w:val="center"/>
                  </w:pPr>
                  <w:r>
                    <w:t xml:space="preserve">2021</w:t>
                  </w:r>
                </w:p>
              </w:tc>
              <w:tc>
                <w:tcPr/>
                <w:p>
                  <w:pPr>
                    <w:pStyle w:val="Compact"/>
                    <w:jc w:val="left"/>
                    <w:jc w:val="center"/>
                  </w:pPr>
                  <w:r>
                    <w:t xml:space="preserve">2022</w:t>
                  </w:r>
                </w:p>
              </w:tc>
              <w:tc>
                <w:tcPr/>
                <w:p>
                  <w:pPr>
                    <w:pStyle w:val="Compact"/>
                    <w:jc w:val="left"/>
                    <w:jc w:val="center"/>
                  </w:pPr>
                  <w:r>
                    <w:t xml:space="preserve">2023</w:t>
                  </w:r>
                </w:p>
              </w:tc>
              <w:tc>
                <w:tcPr/>
                <w:p>
                  <w:pPr>
                    <w:pStyle w:val="Compact"/>
                    <w:jc w:val="left"/>
                    <w:jc w:val="center"/>
                  </w:pPr>
                  <w:r>
                    <w:t xml:space="preserve">2024</w:t>
                  </w:r>
                </w:p>
              </w:tc>
              <w:tc>
                <w:tcPr/>
                <w:p>
                  <w:pPr>
                    <w:pStyle w:val="Compact"/>
                    <w:jc w:val="left"/>
                    <w:jc w:val="center"/>
                  </w:pPr>
                  <w:r>
                    <w:t xml:space="preserve">2025</w:t>
                  </w:r>
                </w:p>
              </w:tc>
              <w:tc>
                <w:tcPr/>
                <w:p>
                  <w:pPr>
                    <w:pStyle w:val="Compact"/>
                    <w:jc w:val="left"/>
                    <w:jc w:val="center"/>
                  </w:pPr>
                  <w:r>
                    <w:t xml:space="preserve">Change</w:t>
                  </w:r>
                </w:p>
              </w:tc>
            </w:tr>
            <w:tr>
              <w:tc>
                <w:tcPr/>
                <w:p>
                  <w:pPr>
                    <w:pStyle w:val="Compact"/>
                    <w:jc w:val="left"/>
                    <w:jc w:val="center"/>
                  </w:pPr>
                  <w:r>
                    <w:t xml:space="preserve">Māngere-Ōtāhuhu Local Board Area</w:t>
                  </w:r>
                </w:p>
              </w:tc>
              <w:tc>
                <w:tcPr/>
                <w:p>
                  <w:pPr>
                    <w:pStyle w:val="Compact"/>
                    <w:jc w:val="left"/>
                    <w:jc w:val="center"/>
                  </w:pPr>
                  <w:r>
                    <w:t xml:space="preserve">3,407</w:t>
                  </w:r>
                </w:p>
              </w:tc>
              <w:tc>
                <w:tcPr/>
                <w:p>
                  <w:pPr>
                    <w:pStyle w:val="Compact"/>
                    <w:jc w:val="left"/>
                    <w:jc w:val="center"/>
                  </w:pPr>
                  <w:r>
                    <w:t xml:space="preserve">3,677</w:t>
                  </w:r>
                </w:p>
              </w:tc>
              <w:tc>
                <w:tcPr/>
                <w:p>
                  <w:pPr>
                    <w:pStyle w:val="Compact"/>
                    <w:jc w:val="left"/>
                    <w:jc w:val="center"/>
                  </w:pPr>
                  <w:r>
                    <w:t xml:space="preserve">4,173</w:t>
                  </w:r>
                </w:p>
              </w:tc>
              <w:tc>
                <w:tcPr/>
                <w:p>
                  <w:pPr>
                    <w:pStyle w:val="Compact"/>
                    <w:jc w:val="left"/>
                    <w:jc w:val="center"/>
                  </w:pPr>
                  <w:r>
                    <w:t xml:space="preserve">4,670</w:t>
                  </w:r>
                </w:p>
              </w:tc>
              <w:tc>
                <w:tcPr/>
                <w:p>
                  <w:pPr>
                    <w:pStyle w:val="Compact"/>
                    <w:jc w:val="left"/>
                    <w:jc w:val="center"/>
                  </w:pPr>
                  <w:r>
                    <w:t xml:space="preserve">4,809</w:t>
                  </w:r>
                </w:p>
              </w:tc>
              <w:tc>
                <w:tcPr/>
                <w:p>
                  <w:pPr>
                    <w:pStyle w:val="Compact"/>
                    <w:jc w:val="left"/>
                    <w:jc w:val="center"/>
                  </w:pPr>
                  <w:r>
                    <w:t xml:space="preserve">41.2%</w:t>
                  </w:r>
                </w:p>
              </w:tc>
            </w:tr>
            <w:tr>
              <w:tc>
                <w:tcPr/>
                <w:p>
                  <w:pPr>
                    <w:pStyle w:val="Compact"/>
                    <w:jc w:val="left"/>
                    <w:jc w:val="center"/>
                  </w:pPr>
                  <w:r>
                    <w:t xml:space="preserve">Ōtara-Papatoetoe Local Board Area</w:t>
                  </w:r>
                </w:p>
              </w:tc>
              <w:tc>
                <w:tcPr/>
                <w:p>
                  <w:pPr>
                    <w:pStyle w:val="Compact"/>
                    <w:jc w:val="left"/>
                    <w:jc w:val="center"/>
                  </w:pPr>
                  <w:r>
                    <w:t xml:space="preserve">3,912</w:t>
                  </w:r>
                </w:p>
              </w:tc>
              <w:tc>
                <w:tcPr/>
                <w:p>
                  <w:pPr>
                    <w:pStyle w:val="Compact"/>
                    <w:jc w:val="left"/>
                    <w:jc w:val="center"/>
                  </w:pPr>
                  <w:r>
                    <w:t xml:space="preserve">4,267</w:t>
                  </w:r>
                </w:p>
              </w:tc>
              <w:tc>
                <w:tcPr/>
                <w:p>
                  <w:pPr>
                    <w:pStyle w:val="Compact"/>
                    <w:jc w:val="left"/>
                    <w:jc w:val="center"/>
                  </w:pPr>
                  <w:r>
                    <w:t xml:space="preserve">4,668</w:t>
                  </w:r>
                </w:p>
              </w:tc>
              <w:tc>
                <w:tcPr/>
                <w:p>
                  <w:pPr>
                    <w:pStyle w:val="Compact"/>
                    <w:jc w:val="left"/>
                    <w:jc w:val="center"/>
                  </w:pPr>
                  <w:r>
                    <w:t xml:space="preserve">5,107</w:t>
                  </w:r>
                </w:p>
              </w:tc>
              <w:tc>
                <w:tcPr/>
                <w:p>
                  <w:pPr>
                    <w:pStyle w:val="Compact"/>
                    <w:jc w:val="left"/>
                    <w:jc w:val="center"/>
                  </w:pPr>
                  <w:r>
                    <w:t xml:space="preserve">5,192</w:t>
                  </w:r>
                </w:p>
              </w:tc>
              <w:tc>
                <w:tcPr/>
                <w:p>
                  <w:pPr>
                    <w:pStyle w:val="Compact"/>
                    <w:jc w:val="left"/>
                    <w:jc w:val="center"/>
                  </w:pPr>
                  <w:r>
                    <w:t xml:space="preserve">32.7%</w:t>
                  </w:r>
                </w:p>
              </w:tc>
            </w:tr>
            <w:tr>
              <w:tc>
                <w:tcPr/>
                <w:p>
                  <w:pPr>
                    <w:pStyle w:val="Compact"/>
                    <w:jc w:val="left"/>
                    <w:jc w:val="center"/>
                  </w:pPr>
                  <w:r>
                    <w:t xml:space="preserve">Maungakiekie-Tāmaki Local Board Area</w:t>
                  </w:r>
                </w:p>
              </w:tc>
              <w:tc>
                <w:tcPr/>
                <w:p>
                  <w:pPr>
                    <w:pStyle w:val="Compact"/>
                    <w:jc w:val="left"/>
                    <w:jc w:val="center"/>
                  </w:pPr>
                  <w:r>
                    <w:t xml:space="preserve">4,540</w:t>
                  </w:r>
                </w:p>
              </w:tc>
              <w:tc>
                <w:tcPr/>
                <w:p>
                  <w:pPr>
                    <w:pStyle w:val="Compact"/>
                    <w:jc w:val="left"/>
                    <w:jc w:val="center"/>
                  </w:pPr>
                  <w:r>
                    <w:t xml:space="preserve">4,882</w:t>
                  </w:r>
                </w:p>
              </w:tc>
              <w:tc>
                <w:tcPr/>
                <w:p>
                  <w:pPr>
                    <w:pStyle w:val="Compact"/>
                    <w:jc w:val="left"/>
                    <w:jc w:val="center"/>
                  </w:pPr>
                  <w:r>
                    <w:t xml:space="preserve">5,226</w:t>
                  </w:r>
                </w:p>
              </w:tc>
              <w:tc>
                <w:tcPr/>
                <w:p>
                  <w:pPr>
                    <w:pStyle w:val="Compact"/>
                    <w:jc w:val="left"/>
                    <w:jc w:val="center"/>
                  </w:pPr>
                  <w:r>
                    <w:t xml:space="preserve">5,514</w:t>
                  </w:r>
                </w:p>
              </w:tc>
              <w:tc>
                <w:tcPr/>
                <w:p>
                  <w:pPr>
                    <w:pStyle w:val="Compact"/>
                    <w:jc w:val="left"/>
                    <w:jc w:val="center"/>
                  </w:pPr>
                  <w:r>
                    <w:t xml:space="preserve">5,484</w:t>
                  </w:r>
                </w:p>
              </w:tc>
              <w:tc>
                <w:tcPr/>
                <w:p>
                  <w:pPr>
                    <w:pStyle w:val="Compact"/>
                    <w:jc w:val="left"/>
                    <w:jc w:val="center"/>
                  </w:pPr>
                  <w:r>
                    <w:t xml:space="preserve">20.8%</w:t>
                  </w:r>
                </w:p>
              </w:tc>
            </w:tr>
            <w:tr>
              <w:tc>
                <w:tcPr/>
                <w:p>
                  <w:pPr>
                    <w:pStyle w:val="Compact"/>
                    <w:jc w:val="left"/>
                    <w:jc w:val="center"/>
                  </w:pPr>
                  <w:r>
                    <w:t xml:space="preserve">Aotea/Great Barrier Local Board Area</w:t>
                  </w:r>
                </w:p>
              </w:tc>
              <w:tc>
                <w:tcPr/>
                <w:p>
                  <w:pPr>
                    <w:pStyle w:val="Compact"/>
                    <w:jc w:val="left"/>
                    <w:jc w:val="center"/>
                  </w:pPr>
                  <w:r>
                    <w:t xml:space="preserve">295</w:t>
                  </w:r>
                </w:p>
              </w:tc>
              <w:tc>
                <w:tcPr/>
                <w:p>
                  <w:pPr>
                    <w:pStyle w:val="Compact"/>
                    <w:jc w:val="left"/>
                    <w:jc w:val="center"/>
                  </w:pPr>
                  <w:r>
                    <w:t xml:space="preserve">301</w:t>
                  </w:r>
                </w:p>
              </w:tc>
              <w:tc>
                <w:tcPr/>
                <w:p>
                  <w:pPr>
                    <w:pStyle w:val="Compact"/>
                    <w:jc w:val="left"/>
                    <w:jc w:val="center"/>
                  </w:pPr>
                  <w:r>
                    <w:t xml:space="preserve">325</w:t>
                  </w:r>
                </w:p>
              </w:tc>
              <w:tc>
                <w:tcPr/>
                <w:p>
                  <w:pPr>
                    <w:pStyle w:val="Compact"/>
                    <w:jc w:val="left"/>
                    <w:jc w:val="center"/>
                  </w:pPr>
                  <w:r>
                    <w:t xml:space="preserve">341</w:t>
                  </w:r>
                </w:p>
              </w:tc>
              <w:tc>
                <w:tcPr/>
                <w:p>
                  <w:pPr>
                    <w:pStyle w:val="Compact"/>
                    <w:jc w:val="left"/>
                    <w:jc w:val="center"/>
                  </w:pPr>
                  <w:r>
                    <w:t xml:space="preserve">349</w:t>
                  </w:r>
                </w:p>
              </w:tc>
              <w:tc>
                <w:tcPr/>
                <w:p>
                  <w:pPr>
                    <w:pStyle w:val="Compact"/>
                    <w:jc w:val="left"/>
                    <w:jc w:val="center"/>
                  </w:pPr>
                  <w:r>
                    <w:t xml:space="preserve">18.3%</w:t>
                  </w:r>
                </w:p>
              </w:tc>
            </w:tr>
            <w:tr>
              <w:tc>
                <w:tcPr/>
                <w:p>
                  <w:pPr>
                    <w:pStyle w:val="Compact"/>
                    <w:jc w:val="left"/>
                    <w:jc w:val="center"/>
                  </w:pPr>
                  <w:r>
                    <w:t xml:space="preserve">Manurewa Local Board Area</w:t>
                  </w:r>
                </w:p>
              </w:tc>
              <w:tc>
                <w:tcPr/>
                <w:p>
                  <w:pPr>
                    <w:pStyle w:val="Compact"/>
                    <w:jc w:val="left"/>
                    <w:jc w:val="center"/>
                  </w:pPr>
                  <w:r>
                    <w:t xml:space="preserve">5,043</w:t>
                  </w:r>
                </w:p>
              </w:tc>
              <w:tc>
                <w:tcPr/>
                <w:p>
                  <w:pPr>
                    <w:pStyle w:val="Compact"/>
                    <w:jc w:val="left"/>
                    <w:jc w:val="center"/>
                  </w:pPr>
                  <w:r>
                    <w:t xml:space="preserve">5,306</w:t>
                  </w:r>
                </w:p>
              </w:tc>
              <w:tc>
                <w:tcPr/>
                <w:p>
                  <w:pPr>
                    <w:pStyle w:val="Compact"/>
                    <w:jc w:val="left"/>
                    <w:jc w:val="center"/>
                  </w:pPr>
                  <w:r>
                    <w:t xml:space="preserve">5,589</w:t>
                  </w:r>
                </w:p>
              </w:tc>
              <w:tc>
                <w:tcPr/>
                <w:p>
                  <w:pPr>
                    <w:pStyle w:val="Compact"/>
                    <w:jc w:val="left"/>
                    <w:jc w:val="center"/>
                  </w:pPr>
                  <w:r>
                    <w:t xml:space="preserve">5,923</w:t>
                  </w:r>
                </w:p>
              </w:tc>
              <w:tc>
                <w:tcPr/>
                <w:p>
                  <w:pPr>
                    <w:pStyle w:val="Compact"/>
                    <w:jc w:val="left"/>
                    <w:jc w:val="center"/>
                  </w:pPr>
                  <w:r>
                    <w:t xml:space="preserve">5,808</w:t>
                  </w:r>
                </w:p>
              </w:tc>
              <w:tc>
                <w:tcPr/>
                <w:p>
                  <w:pPr>
                    <w:pStyle w:val="Compact"/>
                    <w:jc w:val="left"/>
                    <w:jc w:val="center"/>
                  </w:pPr>
                  <w:r>
                    <w:t xml:space="preserve">15.2%</w:t>
                  </w:r>
                </w:p>
              </w:tc>
            </w:tr>
            <w:tr>
              <w:tc>
                <w:tcPr/>
                <w:p>
                  <w:pPr>
                    <w:pStyle w:val="Compact"/>
                    <w:jc w:val="left"/>
                    <w:jc w:val="center"/>
                  </w:pPr>
                  <w:r>
                    <w:t xml:space="preserve">Henderson-Massey Local Board Area</w:t>
                  </w:r>
                </w:p>
              </w:tc>
              <w:tc>
                <w:tcPr/>
                <w:p>
                  <w:pPr>
                    <w:pStyle w:val="Compact"/>
                    <w:jc w:val="left"/>
                    <w:jc w:val="center"/>
                  </w:pPr>
                  <w:r>
                    <w:t xml:space="preserve">9,140</w:t>
                  </w:r>
                </w:p>
              </w:tc>
              <w:tc>
                <w:tcPr/>
                <w:p>
                  <w:pPr>
                    <w:pStyle w:val="Compact"/>
                    <w:jc w:val="left"/>
                    <w:jc w:val="center"/>
                  </w:pPr>
                  <w:r>
                    <w:t xml:space="preserve">9,514</w:t>
                  </w:r>
                </w:p>
              </w:tc>
              <w:tc>
                <w:tcPr/>
                <w:p>
                  <w:pPr>
                    <w:pStyle w:val="Compact"/>
                    <w:jc w:val="left"/>
                    <w:jc w:val="center"/>
                  </w:pPr>
                  <w:r>
                    <w:t xml:space="preserve">10,067</w:t>
                  </w:r>
                </w:p>
              </w:tc>
              <w:tc>
                <w:tcPr/>
                <w:p>
                  <w:pPr>
                    <w:pStyle w:val="Compact"/>
                    <w:jc w:val="left"/>
                    <w:jc w:val="center"/>
                  </w:pPr>
                  <w:r>
                    <w:t xml:space="preserve">10,440</w:t>
                  </w:r>
                </w:p>
              </w:tc>
              <w:tc>
                <w:tcPr/>
                <w:p>
                  <w:pPr>
                    <w:pStyle w:val="Compact"/>
                    <w:jc w:val="left"/>
                    <w:jc w:val="center"/>
                  </w:pPr>
                  <w:r>
                    <w:t xml:space="preserve">10,288</w:t>
                  </w:r>
                </w:p>
              </w:tc>
              <w:tc>
                <w:tcPr/>
                <w:p>
                  <w:pPr>
                    <w:pStyle w:val="Compact"/>
                    <w:jc w:val="left"/>
                    <w:jc w:val="center"/>
                  </w:pPr>
                  <w:r>
                    <w:t xml:space="preserve">12.6%</w:t>
                  </w:r>
                </w:p>
              </w:tc>
            </w:tr>
            <w:tr>
              <w:tc>
                <w:tcPr/>
                <w:p>
                  <w:pPr>
                    <w:pStyle w:val="Compact"/>
                    <w:jc w:val="left"/>
                    <w:jc w:val="center"/>
                  </w:pPr>
                  <w:r>
                    <w:t xml:space="preserve">Upper Harbour Local Board Area</w:t>
                  </w:r>
                </w:p>
              </w:tc>
              <w:tc>
                <w:tcPr/>
                <w:p>
                  <w:pPr>
                    <w:pStyle w:val="Compact"/>
                    <w:jc w:val="left"/>
                    <w:jc w:val="center"/>
                  </w:pPr>
                  <w:r>
                    <w:t xml:space="preserve">4,880</w:t>
                  </w:r>
                </w:p>
              </w:tc>
              <w:tc>
                <w:tcPr/>
                <w:p>
                  <w:pPr>
                    <w:pStyle w:val="Compact"/>
                    <w:jc w:val="left"/>
                    <w:jc w:val="center"/>
                  </w:pPr>
                  <w:r>
                    <w:t xml:space="preserve">5,307</w:t>
                  </w:r>
                </w:p>
              </w:tc>
              <w:tc>
                <w:tcPr/>
                <w:p>
                  <w:pPr>
                    <w:pStyle w:val="Compact"/>
                    <w:jc w:val="left"/>
                    <w:jc w:val="center"/>
                  </w:pPr>
                  <w:r>
                    <w:t xml:space="preserve">5,607</w:t>
                  </w:r>
                </w:p>
              </w:tc>
              <w:tc>
                <w:tcPr/>
                <w:p>
                  <w:pPr>
                    <w:pStyle w:val="Compact"/>
                    <w:jc w:val="left"/>
                    <w:jc w:val="center"/>
                  </w:pPr>
                  <w:r>
                    <w:t xml:space="preserve">5,696</w:t>
                  </w:r>
                </w:p>
              </w:tc>
              <w:tc>
                <w:tcPr/>
                <w:p>
                  <w:pPr>
                    <w:pStyle w:val="Compact"/>
                    <w:jc w:val="left"/>
                    <w:jc w:val="center"/>
                  </w:pPr>
                  <w:r>
                    <w:t xml:space="preserve">5,464</w:t>
                  </w:r>
                </w:p>
              </w:tc>
              <w:tc>
                <w:tcPr/>
                <w:p>
                  <w:pPr>
                    <w:pStyle w:val="Compact"/>
                    <w:jc w:val="left"/>
                    <w:jc w:val="center"/>
                  </w:pPr>
                  <w:r>
                    <w:t xml:space="preserve">12.0%</w:t>
                  </w:r>
                </w:p>
              </w:tc>
            </w:tr>
            <w:tr>
              <w:tc>
                <w:tcPr/>
                <w:p>
                  <w:pPr>
                    <w:pStyle w:val="Compact"/>
                    <w:jc w:val="left"/>
                    <w:jc w:val="center"/>
                  </w:pPr>
                  <w:r>
                    <w:t xml:space="preserve">Puketāpapa Local Board Area</w:t>
                  </w:r>
                </w:p>
              </w:tc>
              <w:tc>
                <w:tcPr/>
                <w:p>
                  <w:pPr>
                    <w:pStyle w:val="Compact"/>
                    <w:jc w:val="left"/>
                    <w:jc w:val="center"/>
                  </w:pPr>
                  <w:r>
                    <w:t xml:space="preserve">1,954</w:t>
                  </w:r>
                </w:p>
              </w:tc>
              <w:tc>
                <w:tcPr/>
                <w:p>
                  <w:pPr>
                    <w:pStyle w:val="Compact"/>
                    <w:jc w:val="left"/>
                    <w:jc w:val="center"/>
                  </w:pPr>
                  <w:r>
                    <w:t xml:space="preserve">2,080</w:t>
                  </w:r>
                </w:p>
              </w:tc>
              <w:tc>
                <w:tcPr/>
                <w:p>
                  <w:pPr>
                    <w:pStyle w:val="Compact"/>
                    <w:jc w:val="left"/>
                    <w:jc w:val="center"/>
                  </w:pPr>
                  <w:r>
                    <w:t xml:space="preserve">2,227</w:t>
                  </w:r>
                </w:p>
              </w:tc>
              <w:tc>
                <w:tcPr/>
                <w:p>
                  <w:pPr>
                    <w:pStyle w:val="Compact"/>
                    <w:jc w:val="left"/>
                    <w:jc w:val="center"/>
                  </w:pPr>
                  <w:r>
                    <w:t xml:space="preserve">2,282</w:t>
                  </w:r>
                </w:p>
              </w:tc>
              <w:tc>
                <w:tcPr/>
                <w:p>
                  <w:pPr>
                    <w:pStyle w:val="Compact"/>
                    <w:jc w:val="left"/>
                    <w:jc w:val="center"/>
                  </w:pPr>
                  <w:r>
                    <w:t xml:space="preserve">2,180</w:t>
                  </w:r>
                </w:p>
              </w:tc>
              <w:tc>
                <w:tcPr/>
                <w:p>
                  <w:pPr>
                    <w:pStyle w:val="Compact"/>
                    <w:jc w:val="left"/>
                    <w:jc w:val="center"/>
                  </w:pPr>
                  <w:r>
                    <w:t xml:space="preserve">11.6%</w:t>
                  </w:r>
                </w:p>
              </w:tc>
            </w:tr>
            <w:tr>
              <w:tc>
                <w:tcPr/>
                <w:p>
                  <w:pPr>
                    <w:pStyle w:val="Compact"/>
                    <w:jc w:val="left"/>
                    <w:jc w:val="center"/>
                  </w:pPr>
                  <w:r>
                    <w:t xml:space="preserve">Whau Local Board Area</w:t>
                  </w:r>
                </w:p>
              </w:tc>
              <w:tc>
                <w:tcPr/>
                <w:p>
                  <w:pPr>
                    <w:pStyle w:val="Compact"/>
                    <w:jc w:val="left"/>
                    <w:jc w:val="center"/>
                  </w:pPr>
                  <w:r>
                    <w:t xml:space="preserve">3,337</w:t>
                  </w:r>
                </w:p>
              </w:tc>
              <w:tc>
                <w:tcPr/>
                <w:p>
                  <w:pPr>
                    <w:pStyle w:val="Compact"/>
                    <w:jc w:val="left"/>
                    <w:jc w:val="center"/>
                  </w:pPr>
                  <w:r>
                    <w:t xml:space="preserve">3,493</w:t>
                  </w:r>
                </w:p>
              </w:tc>
              <w:tc>
                <w:tcPr/>
                <w:p>
                  <w:pPr>
                    <w:pStyle w:val="Compact"/>
                    <w:jc w:val="left"/>
                    <w:jc w:val="center"/>
                  </w:pPr>
                  <w:r>
                    <w:t xml:space="preserve">3,690</w:t>
                  </w:r>
                </w:p>
              </w:tc>
              <w:tc>
                <w:tcPr/>
                <w:p>
                  <w:pPr>
                    <w:pStyle w:val="Compact"/>
                    <w:jc w:val="left"/>
                    <w:jc w:val="center"/>
                  </w:pPr>
                  <w:r>
                    <w:t xml:space="preserve">3,817</w:t>
                  </w:r>
                </w:p>
              </w:tc>
              <w:tc>
                <w:tcPr/>
                <w:p>
                  <w:pPr>
                    <w:pStyle w:val="Compact"/>
                    <w:jc w:val="left"/>
                    <w:jc w:val="center"/>
                  </w:pPr>
                  <w:r>
                    <w:t xml:space="preserve">3,694</w:t>
                  </w:r>
                </w:p>
              </w:tc>
              <w:tc>
                <w:tcPr/>
                <w:p>
                  <w:pPr>
                    <w:pStyle w:val="Compact"/>
                    <w:jc w:val="left"/>
                    <w:jc w:val="center"/>
                  </w:pPr>
                  <w:r>
                    <w:t xml:space="preserve">10.7%</w:t>
                  </w:r>
                </w:p>
              </w:tc>
            </w:tr>
            <w:tr>
              <w:tc>
                <w:tcPr/>
                <w:p>
                  <w:pPr>
                    <w:pStyle w:val="Compact"/>
                    <w:jc w:val="left"/>
                    <w:jc w:val="center"/>
                  </w:pPr>
                  <w:r>
                    <w:t xml:space="preserve">Hibiscus and Bays Local Board Area</w:t>
                  </w:r>
                </w:p>
              </w:tc>
              <w:tc>
                <w:tcPr/>
                <w:p>
                  <w:pPr>
                    <w:pStyle w:val="Compact"/>
                    <w:jc w:val="left"/>
                    <w:jc w:val="center"/>
                  </w:pPr>
                  <w:r>
                    <w:t xml:space="preserve">11,369</w:t>
                  </w:r>
                </w:p>
              </w:tc>
              <w:tc>
                <w:tcPr/>
                <w:p>
                  <w:pPr>
                    <w:pStyle w:val="Compact"/>
                    <w:jc w:val="left"/>
                    <w:jc w:val="center"/>
                  </w:pPr>
                  <w:r>
                    <w:t xml:space="preserve">12,035</w:t>
                  </w:r>
                </w:p>
              </w:tc>
              <w:tc>
                <w:tcPr/>
                <w:p>
                  <w:pPr>
                    <w:pStyle w:val="Compact"/>
                    <w:jc w:val="left"/>
                    <w:jc w:val="center"/>
                  </w:pPr>
                  <w:r>
                    <w:t xml:space="preserve">12,621</w:t>
                  </w:r>
                </w:p>
              </w:tc>
              <w:tc>
                <w:tcPr/>
                <w:p>
                  <w:pPr>
                    <w:pStyle w:val="Compact"/>
                    <w:jc w:val="left"/>
                    <w:jc w:val="center"/>
                  </w:pPr>
                  <w:r>
                    <w:t xml:space="preserve">12,994</w:t>
                  </w:r>
                </w:p>
              </w:tc>
              <w:tc>
                <w:tcPr/>
                <w:p>
                  <w:pPr>
                    <w:pStyle w:val="Compact"/>
                    <w:jc w:val="left"/>
                    <w:jc w:val="center"/>
                  </w:pPr>
                  <w:r>
                    <w:t xml:space="preserve">12,529</w:t>
                  </w:r>
                </w:p>
              </w:tc>
              <w:tc>
                <w:tcPr/>
                <w:p>
                  <w:pPr>
                    <w:pStyle w:val="Compact"/>
                    <w:jc w:val="left"/>
                    <w:jc w:val="center"/>
                  </w:pPr>
                  <w:r>
                    <w:t xml:space="preserve">10.2%</w:t>
                  </w:r>
                </w:p>
              </w:tc>
            </w:tr>
            <w:tr>
              <w:tc>
                <w:tcPr/>
                <w:p>
                  <w:pPr>
                    <w:pStyle w:val="Compact"/>
                    <w:jc w:val="left"/>
                    <w:jc w:val="center"/>
                  </w:pPr>
                  <w:r>
                    <w:t xml:space="preserve">Kaipātiki Local Board Area</w:t>
                  </w:r>
                </w:p>
              </w:tc>
              <w:tc>
                <w:tcPr/>
                <w:p>
                  <w:pPr>
                    <w:pStyle w:val="Compact"/>
                    <w:jc w:val="left"/>
                    <w:jc w:val="center"/>
                  </w:pPr>
                  <w:r>
                    <w:t xml:space="preserve">5,753</w:t>
                  </w:r>
                </w:p>
              </w:tc>
              <w:tc>
                <w:tcPr/>
                <w:p>
                  <w:pPr>
                    <w:pStyle w:val="Compact"/>
                    <w:jc w:val="left"/>
                    <w:jc w:val="center"/>
                  </w:pPr>
                  <w:r>
                    <w:t xml:space="preserve">6,088</w:t>
                  </w:r>
                </w:p>
              </w:tc>
              <w:tc>
                <w:tcPr/>
                <w:p>
                  <w:pPr>
                    <w:pStyle w:val="Compact"/>
                    <w:jc w:val="left"/>
                    <w:jc w:val="center"/>
                  </w:pPr>
                  <w:r>
                    <w:t xml:space="preserve">6,458</w:t>
                  </w:r>
                </w:p>
              </w:tc>
              <w:tc>
                <w:tcPr/>
                <w:p>
                  <w:pPr>
                    <w:pStyle w:val="Compact"/>
                    <w:jc w:val="left"/>
                    <w:jc w:val="center"/>
                  </w:pPr>
                  <w:r>
                    <w:t xml:space="preserve">6,534</w:t>
                  </w:r>
                </w:p>
              </w:tc>
              <w:tc>
                <w:tcPr/>
                <w:p>
                  <w:pPr>
                    <w:pStyle w:val="Compact"/>
                    <w:jc w:val="left"/>
                    <w:jc w:val="center"/>
                  </w:pPr>
                  <w:r>
                    <w:t xml:space="preserve">6,275</w:t>
                  </w:r>
                </w:p>
              </w:tc>
              <w:tc>
                <w:tcPr/>
                <w:p>
                  <w:pPr>
                    <w:pStyle w:val="Compact"/>
                    <w:jc w:val="left"/>
                    <w:jc w:val="center"/>
                  </w:pPr>
                  <w:r>
                    <w:t xml:space="preserve">9.1%</w:t>
                  </w:r>
                </w:p>
              </w:tc>
            </w:tr>
            <w:tr>
              <w:tc>
                <w:tcPr/>
                <w:p>
                  <w:pPr>
                    <w:pStyle w:val="Compact"/>
                    <w:jc w:val="left"/>
                    <w:jc w:val="center"/>
                  </w:pPr>
                  <w:r>
                    <w:t xml:space="preserve">Albert-Eden Local Board Area</w:t>
                  </w:r>
                </w:p>
              </w:tc>
              <w:tc>
                <w:tcPr/>
                <w:p>
                  <w:pPr>
                    <w:pStyle w:val="Compact"/>
                    <w:jc w:val="left"/>
                    <w:jc w:val="center"/>
                  </w:pPr>
                  <w:r>
                    <w:t xml:space="preserve">5,726</w:t>
                  </w:r>
                </w:p>
              </w:tc>
              <w:tc>
                <w:tcPr/>
                <w:p>
                  <w:pPr>
                    <w:pStyle w:val="Compact"/>
                    <w:jc w:val="left"/>
                    <w:jc w:val="center"/>
                  </w:pPr>
                  <w:r>
                    <w:t xml:space="preserve">6,128</w:t>
                  </w:r>
                </w:p>
              </w:tc>
              <w:tc>
                <w:tcPr/>
                <w:p>
                  <w:pPr>
                    <w:pStyle w:val="Compact"/>
                    <w:jc w:val="left"/>
                    <w:jc w:val="center"/>
                  </w:pPr>
                  <w:r>
                    <w:t xml:space="preserve">6,427</w:t>
                  </w:r>
                </w:p>
              </w:tc>
              <w:tc>
                <w:tcPr/>
                <w:p>
                  <w:pPr>
                    <w:pStyle w:val="Compact"/>
                    <w:jc w:val="left"/>
                    <w:jc w:val="center"/>
                  </w:pPr>
                  <w:r>
                    <w:t xml:space="preserve">6,498</w:t>
                  </w:r>
                </w:p>
              </w:tc>
              <w:tc>
                <w:tcPr/>
                <w:p>
                  <w:pPr>
                    <w:pStyle w:val="Compact"/>
                    <w:jc w:val="left"/>
                    <w:jc w:val="center"/>
                  </w:pPr>
                  <w:r>
                    <w:t xml:space="preserve">6,233</w:t>
                  </w:r>
                </w:p>
              </w:tc>
              <w:tc>
                <w:tcPr/>
                <w:p>
                  <w:pPr>
                    <w:pStyle w:val="Compact"/>
                    <w:jc w:val="left"/>
                    <w:jc w:val="center"/>
                  </w:pPr>
                  <w:r>
                    <w:t xml:space="preserve">8.9%</w:t>
                  </w:r>
                </w:p>
              </w:tc>
            </w:tr>
            <w:tr>
              <w:tc>
                <w:tcPr/>
                <w:p>
                  <w:pPr>
                    <w:pStyle w:val="Compact"/>
                    <w:jc w:val="left"/>
                    <w:jc w:val="center"/>
                  </w:pPr>
                  <w:r>
                    <w:t xml:space="preserve">Howick Local Board Area</w:t>
                  </w:r>
                </w:p>
              </w:tc>
              <w:tc>
                <w:tcPr/>
                <w:p>
                  <w:pPr>
                    <w:pStyle w:val="Compact"/>
                    <w:jc w:val="left"/>
                    <w:jc w:val="center"/>
                  </w:pPr>
                  <w:r>
                    <w:t xml:space="preserve">8,228</w:t>
                  </w:r>
                </w:p>
              </w:tc>
              <w:tc>
                <w:tcPr/>
                <w:p>
                  <w:pPr>
                    <w:pStyle w:val="Compact"/>
                    <w:jc w:val="left"/>
                    <w:jc w:val="center"/>
                  </w:pPr>
                  <w:r>
                    <w:t xml:space="preserve">8,672</w:t>
                  </w:r>
                </w:p>
              </w:tc>
              <w:tc>
                <w:tcPr/>
                <w:p>
                  <w:pPr>
                    <w:pStyle w:val="Compact"/>
                    <w:jc w:val="left"/>
                    <w:jc w:val="center"/>
                  </w:pPr>
                  <w:r>
                    <w:t xml:space="preserve">9,145</w:t>
                  </w:r>
                </w:p>
              </w:tc>
              <w:tc>
                <w:tcPr/>
                <w:p>
                  <w:pPr>
                    <w:pStyle w:val="Compact"/>
                    <w:jc w:val="left"/>
                    <w:jc w:val="center"/>
                  </w:pPr>
                  <w:r>
                    <w:t xml:space="preserve">9,275</w:t>
                  </w:r>
                </w:p>
              </w:tc>
              <w:tc>
                <w:tcPr/>
                <w:p>
                  <w:pPr>
                    <w:pStyle w:val="Compact"/>
                    <w:jc w:val="left"/>
                    <w:jc w:val="center"/>
                  </w:pPr>
                  <w:r>
                    <w:t xml:space="preserve">8,904</w:t>
                  </w:r>
                </w:p>
              </w:tc>
              <w:tc>
                <w:tcPr/>
                <w:p>
                  <w:pPr>
                    <w:pStyle w:val="Compact"/>
                    <w:jc w:val="left"/>
                    <w:jc w:val="center"/>
                  </w:pPr>
                  <w:r>
                    <w:t xml:space="preserve">8.2%</w:t>
                  </w:r>
                </w:p>
              </w:tc>
            </w:tr>
            <w:tr>
              <w:tc>
                <w:tcPr/>
                <w:p>
                  <w:pPr>
                    <w:pStyle w:val="Compact"/>
                    <w:jc w:val="left"/>
                    <w:jc w:val="center"/>
                  </w:pPr>
                  <w:r>
                    <w:t xml:space="preserve">Waitematā Local Board Area</w:t>
                  </w:r>
                </w:p>
              </w:tc>
              <w:tc>
                <w:tcPr/>
                <w:p>
                  <w:pPr>
                    <w:pStyle w:val="Compact"/>
                    <w:jc w:val="left"/>
                    <w:jc w:val="center"/>
                  </w:pPr>
                  <w:r>
                    <w:t xml:space="preserve">4,014</w:t>
                  </w:r>
                </w:p>
              </w:tc>
              <w:tc>
                <w:tcPr/>
                <w:p>
                  <w:pPr>
                    <w:pStyle w:val="Compact"/>
                    <w:jc w:val="left"/>
                    <w:jc w:val="center"/>
                  </w:pPr>
                  <w:r>
                    <w:t xml:space="preserve">4,295</w:t>
                  </w:r>
                </w:p>
              </w:tc>
              <w:tc>
                <w:tcPr/>
                <w:p>
                  <w:pPr>
                    <w:pStyle w:val="Compact"/>
                    <w:jc w:val="left"/>
                    <w:jc w:val="center"/>
                  </w:pPr>
                  <w:r>
                    <w:t xml:space="preserve">4,462</w:t>
                  </w:r>
                </w:p>
              </w:tc>
              <w:tc>
                <w:tcPr/>
                <w:p>
                  <w:pPr>
                    <w:pStyle w:val="Compact"/>
                    <w:jc w:val="left"/>
                    <w:jc w:val="center"/>
                  </w:pPr>
                  <w:r>
                    <w:t xml:space="preserve">4,554</w:t>
                  </w:r>
                </w:p>
              </w:tc>
              <w:tc>
                <w:tcPr/>
                <w:p>
                  <w:pPr>
                    <w:pStyle w:val="Compact"/>
                    <w:jc w:val="left"/>
                    <w:jc w:val="center"/>
                  </w:pPr>
                  <w:r>
                    <w:t xml:space="preserve">4,310</w:t>
                  </w:r>
                </w:p>
              </w:tc>
              <w:tc>
                <w:tcPr/>
                <w:p>
                  <w:pPr>
                    <w:pStyle w:val="Compact"/>
                    <w:jc w:val="left"/>
                    <w:jc w:val="center"/>
                  </w:pPr>
                  <w:r>
                    <w:t xml:space="preserve">7.4%</w:t>
                  </w:r>
                </w:p>
              </w:tc>
            </w:tr>
            <w:tr>
              <w:tc>
                <w:tcPr/>
                <w:p>
                  <w:pPr>
                    <w:pStyle w:val="Compact"/>
                    <w:jc w:val="left"/>
                    <w:jc w:val="center"/>
                  </w:pPr>
                  <w:r>
                    <w:t xml:space="preserve">Papakura Local Board Area</w:t>
                  </w:r>
                </w:p>
              </w:tc>
              <w:tc>
                <w:tcPr/>
                <w:p>
                  <w:pPr>
                    <w:pStyle w:val="Compact"/>
                    <w:jc w:val="left"/>
                    <w:jc w:val="center"/>
                  </w:pPr>
                  <w:r>
                    <w:t xml:space="preserve">5,565</w:t>
                  </w:r>
                </w:p>
              </w:tc>
              <w:tc>
                <w:tcPr/>
                <w:p>
                  <w:pPr>
                    <w:pStyle w:val="Compact"/>
                    <w:jc w:val="left"/>
                    <w:jc w:val="center"/>
                  </w:pPr>
                  <w:r>
                    <w:t xml:space="preserve">5,859</w:t>
                  </w:r>
                </w:p>
              </w:tc>
              <w:tc>
                <w:tcPr/>
                <w:p>
                  <w:pPr>
                    <w:pStyle w:val="Compact"/>
                    <w:jc w:val="left"/>
                    <w:jc w:val="center"/>
                  </w:pPr>
                  <w:r>
                    <w:t xml:space="preserve">6,091</w:t>
                  </w:r>
                </w:p>
              </w:tc>
              <w:tc>
                <w:tcPr/>
                <w:p>
                  <w:pPr>
                    <w:pStyle w:val="Compact"/>
                    <w:jc w:val="left"/>
                    <w:jc w:val="center"/>
                  </w:pPr>
                  <w:r>
                    <w:t xml:space="preserve">6,281</w:t>
                  </w:r>
                </w:p>
              </w:tc>
              <w:tc>
                <w:tcPr/>
                <w:p>
                  <w:pPr>
                    <w:pStyle w:val="Compact"/>
                    <w:jc w:val="left"/>
                    <w:jc w:val="center"/>
                  </w:pPr>
                  <w:r>
                    <w:t xml:space="preserve">5,967</w:t>
                  </w:r>
                </w:p>
              </w:tc>
              <w:tc>
                <w:tcPr/>
                <w:p>
                  <w:pPr>
                    <w:pStyle w:val="Compact"/>
                    <w:jc w:val="left"/>
                    <w:jc w:val="center"/>
                  </w:pPr>
                  <w:r>
                    <w:t xml:space="preserve">7.2%</w:t>
                  </w:r>
                </w:p>
              </w:tc>
            </w:tr>
            <w:tr>
              <w:tc>
                <w:tcPr/>
                <w:p>
                  <w:pPr>
                    <w:pStyle w:val="Compact"/>
                    <w:jc w:val="left"/>
                    <w:jc w:val="center"/>
                  </w:pPr>
                  <w:r>
                    <w:t xml:space="preserve">Devonport-Takapuna Local Board Area</w:t>
                  </w:r>
                </w:p>
              </w:tc>
              <w:tc>
                <w:tcPr/>
                <w:p>
                  <w:pPr>
                    <w:pStyle w:val="Compact"/>
                    <w:jc w:val="left"/>
                    <w:jc w:val="center"/>
                  </w:pPr>
                  <w:r>
                    <w:t xml:space="preserve">4,290</w:t>
                  </w:r>
                </w:p>
              </w:tc>
              <w:tc>
                <w:tcPr/>
                <w:p>
                  <w:pPr>
                    <w:pStyle w:val="Compact"/>
                    <w:jc w:val="left"/>
                    <w:jc w:val="center"/>
                  </w:pPr>
                  <w:r>
                    <w:t xml:space="preserve">4,423</w:t>
                  </w:r>
                </w:p>
              </w:tc>
              <w:tc>
                <w:tcPr/>
                <w:p>
                  <w:pPr>
                    <w:pStyle w:val="Compact"/>
                    <w:jc w:val="left"/>
                    <w:jc w:val="center"/>
                  </w:pPr>
                  <w:r>
                    <w:t xml:space="preserve">4,720</w:t>
                  </w:r>
                </w:p>
              </w:tc>
              <w:tc>
                <w:tcPr/>
                <w:p>
                  <w:pPr>
                    <w:pStyle w:val="Compact"/>
                    <w:jc w:val="left"/>
                    <w:jc w:val="center"/>
                  </w:pPr>
                  <w:r>
                    <w:t xml:space="preserve">4,799</w:t>
                  </w:r>
                </w:p>
              </w:tc>
              <w:tc>
                <w:tcPr/>
                <w:p>
                  <w:pPr>
                    <w:pStyle w:val="Compact"/>
                    <w:jc w:val="left"/>
                    <w:jc w:val="center"/>
                  </w:pPr>
                  <w:r>
                    <w:t xml:space="preserve">4,592</w:t>
                  </w:r>
                </w:p>
              </w:tc>
              <w:tc>
                <w:tcPr/>
                <w:p>
                  <w:pPr>
                    <w:pStyle w:val="Compact"/>
                    <w:jc w:val="left"/>
                    <w:jc w:val="center"/>
                  </w:pPr>
                  <w:r>
                    <w:t xml:space="preserve">7.0%</w:t>
                  </w:r>
                </w:p>
              </w:tc>
            </w:tr>
            <w:tr>
              <w:tc>
                <w:tcPr/>
                <w:p>
                  <w:pPr>
                    <w:pStyle w:val="Compact"/>
                    <w:jc w:val="left"/>
                    <w:jc w:val="center"/>
                  </w:pPr>
                  <w:r>
                    <w:t xml:space="preserve">Franklin Local Board Area</w:t>
                  </w:r>
                </w:p>
              </w:tc>
              <w:tc>
                <w:tcPr/>
                <w:p>
                  <w:pPr>
                    <w:pStyle w:val="Compact"/>
                    <w:jc w:val="left"/>
                    <w:jc w:val="center"/>
                  </w:pPr>
                  <w:r>
                    <w:t xml:space="preserve">11,218</w:t>
                  </w:r>
                </w:p>
              </w:tc>
              <w:tc>
                <w:tcPr/>
                <w:p>
                  <w:pPr>
                    <w:pStyle w:val="Compact"/>
                    <w:jc w:val="left"/>
                    <w:jc w:val="center"/>
                  </w:pPr>
                  <w:r>
                    <w:t xml:space="preserve">11,879</w:t>
                  </w:r>
                </w:p>
              </w:tc>
              <w:tc>
                <w:tcPr/>
                <w:p>
                  <w:pPr>
                    <w:pStyle w:val="Compact"/>
                    <w:jc w:val="left"/>
                    <w:jc w:val="center"/>
                  </w:pPr>
                  <w:r>
                    <w:t xml:space="preserve">12,426</w:t>
                  </w:r>
                </w:p>
              </w:tc>
              <w:tc>
                <w:tcPr/>
                <w:p>
                  <w:pPr>
                    <w:pStyle w:val="Compact"/>
                    <w:jc w:val="left"/>
                    <w:jc w:val="center"/>
                  </w:pPr>
                  <w:r>
                    <w:t xml:space="preserve">12,560</w:t>
                  </w:r>
                </w:p>
              </w:tc>
              <w:tc>
                <w:tcPr/>
                <w:p>
                  <w:pPr>
                    <w:pStyle w:val="Compact"/>
                    <w:jc w:val="left"/>
                    <w:jc w:val="center"/>
                  </w:pPr>
                  <w:r>
                    <w:t xml:space="preserve">11,978</w:t>
                  </w:r>
                </w:p>
              </w:tc>
              <w:tc>
                <w:tcPr/>
                <w:p>
                  <w:pPr>
                    <w:pStyle w:val="Compact"/>
                    <w:jc w:val="left"/>
                    <w:jc w:val="center"/>
                  </w:pPr>
                  <w:r>
                    <w:t xml:space="preserve">6.8%</w:t>
                  </w:r>
                </w:p>
              </w:tc>
            </w:tr>
            <w:tr>
              <w:tc>
                <w:tcPr/>
                <w:p>
                  <w:pPr>
                    <w:pStyle w:val="Compact"/>
                    <w:jc w:val="left"/>
                    <w:jc w:val="center"/>
                  </w:pPr>
                  <w:r>
                    <w:t xml:space="preserve">Waitākere Ranges Local Board Area</w:t>
                  </w:r>
                </w:p>
              </w:tc>
              <w:tc>
                <w:tcPr/>
                <w:p>
                  <w:pPr>
                    <w:pStyle w:val="Compact"/>
                    <w:jc w:val="left"/>
                    <w:jc w:val="center"/>
                  </w:pPr>
                  <w:r>
                    <w:t xml:space="preserve">5,729</w:t>
                  </w:r>
                </w:p>
              </w:tc>
              <w:tc>
                <w:tcPr/>
                <w:p>
                  <w:pPr>
                    <w:pStyle w:val="Compact"/>
                    <w:jc w:val="left"/>
                    <w:jc w:val="center"/>
                  </w:pPr>
                  <w:r>
                    <w:t xml:space="preserve">5,961</w:t>
                  </w:r>
                </w:p>
              </w:tc>
              <w:tc>
                <w:tcPr/>
                <w:p>
                  <w:pPr>
                    <w:pStyle w:val="Compact"/>
                    <w:jc w:val="left"/>
                    <w:jc w:val="center"/>
                  </w:pPr>
                  <w:r>
                    <w:t xml:space="preserve">6,211</w:t>
                  </w:r>
                </w:p>
              </w:tc>
              <w:tc>
                <w:tcPr/>
                <w:p>
                  <w:pPr>
                    <w:pStyle w:val="Compact"/>
                    <w:jc w:val="left"/>
                    <w:jc w:val="center"/>
                  </w:pPr>
                  <w:r>
                    <w:t xml:space="preserve">6,302</w:t>
                  </w:r>
                </w:p>
              </w:tc>
              <w:tc>
                <w:tcPr/>
                <w:p>
                  <w:pPr>
                    <w:pStyle w:val="Compact"/>
                    <w:jc w:val="left"/>
                    <w:jc w:val="center"/>
                  </w:pPr>
                  <w:r>
                    <w:t xml:space="preserve">6,064</w:t>
                  </w:r>
                </w:p>
              </w:tc>
              <w:tc>
                <w:tcPr/>
                <w:p>
                  <w:pPr>
                    <w:pStyle w:val="Compact"/>
                    <w:jc w:val="left"/>
                    <w:jc w:val="center"/>
                  </w:pPr>
                  <w:r>
                    <w:t xml:space="preserve">5.8%</w:t>
                  </w:r>
                </w:p>
              </w:tc>
            </w:tr>
            <w:tr>
              <w:tc>
                <w:tcPr/>
                <w:p>
                  <w:pPr>
                    <w:pStyle w:val="Compact"/>
                    <w:jc w:val="left"/>
                    <w:jc w:val="center"/>
                  </w:pPr>
                  <w:r>
                    <w:t xml:space="preserve">Ōrākei Local Board Area</w:t>
                  </w:r>
                </w:p>
              </w:tc>
              <w:tc>
                <w:tcPr/>
                <w:p>
                  <w:pPr>
                    <w:pStyle w:val="Compact"/>
                    <w:jc w:val="left"/>
                    <w:jc w:val="center"/>
                  </w:pPr>
                  <w:r>
                    <w:t xml:space="preserve">6,810</w:t>
                  </w:r>
                </w:p>
              </w:tc>
              <w:tc>
                <w:tcPr/>
                <w:p>
                  <w:pPr>
                    <w:pStyle w:val="Compact"/>
                    <w:jc w:val="left"/>
                    <w:jc w:val="center"/>
                  </w:pPr>
                  <w:r>
                    <w:t xml:space="preserve">7,096</w:t>
                  </w:r>
                </w:p>
              </w:tc>
              <w:tc>
                <w:tcPr/>
                <w:p>
                  <w:pPr>
                    <w:pStyle w:val="Compact"/>
                    <w:jc w:val="left"/>
                    <w:jc w:val="center"/>
                  </w:pPr>
                  <w:r>
                    <w:t xml:space="preserve">7,403</w:t>
                  </w:r>
                </w:p>
              </w:tc>
              <w:tc>
                <w:tcPr/>
                <w:p>
                  <w:pPr>
                    <w:pStyle w:val="Compact"/>
                    <w:jc w:val="left"/>
                    <w:jc w:val="center"/>
                  </w:pPr>
                  <w:r>
                    <w:t xml:space="preserve">7,516</w:t>
                  </w:r>
                </w:p>
              </w:tc>
              <w:tc>
                <w:tcPr/>
                <w:p>
                  <w:pPr>
                    <w:pStyle w:val="Compact"/>
                    <w:jc w:val="left"/>
                    <w:jc w:val="center"/>
                  </w:pPr>
                  <w:r>
                    <w:t xml:space="preserve">7,161</w:t>
                  </w:r>
                </w:p>
              </w:tc>
              <w:tc>
                <w:tcPr/>
                <w:p>
                  <w:pPr>
                    <w:pStyle w:val="Compact"/>
                    <w:jc w:val="left"/>
                    <w:jc w:val="center"/>
                  </w:pPr>
                  <w:r>
                    <w:t xml:space="preserve">5.2%</w:t>
                  </w:r>
                </w:p>
              </w:tc>
            </w:tr>
            <w:tr>
              <w:tc>
                <w:tcPr/>
                <w:p>
                  <w:pPr>
                    <w:pStyle w:val="Compact"/>
                    <w:jc w:val="left"/>
                    <w:jc w:val="center"/>
                  </w:pPr>
                  <w:r>
                    <w:t xml:space="preserve">Rodney Local Board Area</w:t>
                  </w:r>
                </w:p>
              </w:tc>
              <w:tc>
                <w:tcPr/>
                <w:p>
                  <w:pPr>
                    <w:pStyle w:val="Compact"/>
                    <w:jc w:val="left"/>
                    <w:jc w:val="center"/>
                  </w:pPr>
                  <w:r>
                    <w:t xml:space="preserve">12,152</w:t>
                  </w:r>
                </w:p>
              </w:tc>
              <w:tc>
                <w:tcPr/>
                <w:p>
                  <w:pPr>
                    <w:pStyle w:val="Compact"/>
                    <w:jc w:val="left"/>
                    <w:jc w:val="center"/>
                  </w:pPr>
                  <w:r>
                    <w:t xml:space="preserve">12,555</w:t>
                  </w:r>
                </w:p>
              </w:tc>
              <w:tc>
                <w:tcPr/>
                <w:p>
                  <w:pPr>
                    <w:pStyle w:val="Compact"/>
                    <w:jc w:val="left"/>
                    <w:jc w:val="center"/>
                  </w:pPr>
                  <w:r>
                    <w:t xml:space="preserve">12,976</w:t>
                  </w:r>
                </w:p>
              </w:tc>
              <w:tc>
                <w:tcPr/>
                <w:p>
                  <w:pPr>
                    <w:pStyle w:val="Compact"/>
                    <w:jc w:val="left"/>
                    <w:jc w:val="center"/>
                  </w:pPr>
                  <w:r>
                    <w:t xml:space="preserve">13,245</w:t>
                  </w:r>
                </w:p>
              </w:tc>
              <w:tc>
                <w:tcPr/>
                <w:p>
                  <w:pPr>
                    <w:pStyle w:val="Compact"/>
                    <w:jc w:val="left"/>
                    <w:jc w:val="center"/>
                  </w:pPr>
                  <w:r>
                    <w:t xml:space="preserve">12,635</w:t>
                  </w:r>
                </w:p>
              </w:tc>
              <w:tc>
                <w:tcPr/>
                <w:p>
                  <w:pPr>
                    <w:pStyle w:val="Compact"/>
                    <w:jc w:val="left"/>
                    <w:jc w:val="center"/>
                  </w:pPr>
                  <w:r>
                    <w:t xml:space="preserve">4.0%</w:t>
                  </w:r>
                </w:p>
              </w:tc>
            </w:tr>
            <w:tr>
              <w:tc>
                <w:tcPr/>
                <w:p>
                  <w:pPr>
                    <w:pStyle w:val="Compact"/>
                    <w:jc w:val="left"/>
                    <w:jc w:val="center"/>
                  </w:pPr>
                  <w:r>
                    <w:t xml:space="preserve">Waiheke Local Board Area</w:t>
                  </w:r>
                </w:p>
              </w:tc>
              <w:tc>
                <w:tcPr/>
                <w:p>
                  <w:pPr>
                    <w:pStyle w:val="Compact"/>
                    <w:jc w:val="left"/>
                    <w:jc w:val="center"/>
                  </w:pPr>
                  <w:r>
                    <w:t xml:space="preserve">1,180</w:t>
                  </w:r>
                </w:p>
              </w:tc>
              <w:tc>
                <w:tcPr/>
                <w:p>
                  <w:pPr>
                    <w:pStyle w:val="Compact"/>
                    <w:jc w:val="left"/>
                    <w:jc w:val="center"/>
                  </w:pPr>
                  <w:r>
                    <w:t xml:space="preserve">1,200</w:t>
                  </w:r>
                </w:p>
              </w:tc>
              <w:tc>
                <w:tcPr/>
                <w:p>
                  <w:pPr>
                    <w:pStyle w:val="Compact"/>
                    <w:jc w:val="left"/>
                    <w:jc w:val="center"/>
                  </w:pPr>
                  <w:r>
                    <w:t xml:space="preserve">1,271</w:t>
                  </w:r>
                </w:p>
              </w:tc>
              <w:tc>
                <w:tcPr/>
                <w:p>
                  <w:pPr>
                    <w:pStyle w:val="Compact"/>
                    <w:jc w:val="left"/>
                    <w:jc w:val="center"/>
                  </w:pPr>
                  <w:r>
                    <w:t xml:space="preserve">1,272</w:t>
                  </w:r>
                </w:p>
              </w:tc>
              <w:tc>
                <w:tcPr/>
                <w:p>
                  <w:pPr>
                    <w:pStyle w:val="Compact"/>
                    <w:jc w:val="left"/>
                    <w:jc w:val="center"/>
                  </w:pPr>
                  <w:r>
                    <w:t xml:space="preserve">1,207</w:t>
                  </w:r>
                </w:p>
              </w:tc>
              <w:tc>
                <w:tcPr/>
                <w:p>
                  <w:pPr>
                    <w:pStyle w:val="Compact"/>
                    <w:jc w:val="left"/>
                    <w:jc w:val="center"/>
                  </w:pPr>
                  <w:r>
                    <w:t xml:space="preserve">2.3%</w:t>
                  </w:r>
                </w:p>
              </w:tc>
            </w:tr>
          </w:tbl>
          <w:p>
            <w:pPr>
              <w:jc w:val="center"/>
            </w:pPr>
            <w:pPr>
              <w:jc w:val="left"/>
              <w:spacing w:before="200"/>
              <w:pStyle w:val="ImageCaption"/>
            </w:pPr>
            <w:r>
              <w:t xml:space="preserve">Table 6: Source: Auckland Council Animal Management data.</w:t>
            </w:r>
          </w:p>
          <w:bookmarkEnd w:id="46"/>
        </w:tc>
      </w:tr>
    </w:tbl>
    <w:p>
      <w:pPr>
        <w:pStyle w:val="BodyText"/>
      </w:pPr>
      <w:r>
        <w:rPr>
          <w:vertAlign w:val="subscript"/>
        </w:rPr>
        <w:t xml:space="preserve">Source:</w:t>
      </w:r>
      <w:r>
        <w:rPr>
          <w:vertAlign w:val="subscript"/>
        </w:rPr>
        <w:t xml:space="preserve"> </w:t>
      </w:r>
      <w:hyperlink r:id="rId47">
        <w:r>
          <w:rPr>
            <w:rStyle w:val="Hyperlink"/>
            <w:vertAlign w:val="subscript"/>
          </w:rPr>
          <w:t xml:space="preserve">Data Analysis</w:t>
        </w:r>
      </w:hyperlink>
    </w:p>
    <w:p>
      <w:pPr>
        <w:pStyle w:val="BodyText"/>
      </w:pPr>
      <w:r>
        <w:t xml:space="preserve">Local Board areas differed greatly on rates of registration, desexing, dogs classified as menacing or dangerous, and the proportion of owners with a Responsible Dog Owner Licence.</w:t>
      </w:r>
    </w:p>
    <w:p>
      <w:pPr>
        <w:pStyle w:val="BodyText"/>
      </w:pPr>
      <w:r>
        <w:t xml:space="preserve">A Spearman rank correlation analysis showed that Local Boards with high current registrations tended to have higher rates of desexing and lower rates of classified animals, while those with higher rates of classifications tended to have lower rates of desexing.</w:t>
      </w:r>
    </w:p>
    <w:p>
      <w:pPr>
        <w:pStyle w:val="BodyText"/>
      </w:pPr>
      <w:bookmarkStart w:id="51" w:name="spearman"/>
      <w:r>
        <w:drawing>
          <wp:inline>
            <wp:extent cx="5334000" cy="3810000"/>
            <wp:effectExtent b="0" l="0" r="0" t="0"/>
            <wp:docPr descr="" title="" id="49" name="Picture"/>
            <a:graphic>
              <a:graphicData uri="http://schemas.openxmlformats.org/drawingml/2006/picture">
                <pic:pic>
                  <pic:nvPicPr>
                    <pic:cNvPr descr="index_files/figure-docx/notebooks-data-analysis-spearman-output-1.png" id="50" name="Picture"/>
                    <pic:cNvPicPr>
                      <a:picLocks noChangeArrowheads="1" noChangeAspect="1"/>
                    </pic:cNvPicPr>
                  </pic:nvPicPr>
                  <pic:blipFill>
                    <a:blip r:embed="rId48"/>
                    <a:stretch>
                      <a:fillRect/>
                    </a:stretch>
                  </pic:blipFill>
                  <pic:spPr bwMode="auto">
                    <a:xfrm>
                      <a:off x="0" y="0"/>
                      <a:ext cx="5334000" cy="3810000"/>
                    </a:xfrm>
                    <a:prstGeom prst="rect">
                      <a:avLst/>
                    </a:prstGeom>
                    <a:noFill/>
                    <a:ln w="9525">
                      <a:noFill/>
                      <a:headEnd/>
                      <a:tailEnd/>
                    </a:ln>
                  </pic:spPr>
                </pic:pic>
              </a:graphicData>
            </a:graphic>
          </wp:inline>
        </w:drawing>
      </w:r>
      <w:bookmarkEnd w:id="51"/>
    </w:p>
    <w:p>
      <w:pPr>
        <w:pStyle w:val="BodyText"/>
      </w:pPr>
      <w:r>
        <w:rPr>
          <w:vertAlign w:val="subscript"/>
        </w:rPr>
        <w:t xml:space="preserve">Source:</w:t>
      </w:r>
      <w:r>
        <w:rPr>
          <w:vertAlign w:val="subscript"/>
        </w:rPr>
        <w:t xml:space="preserve"> </w:t>
      </w:r>
      <w:hyperlink r:id="rId52">
        <w:r>
          <w:rPr>
            <w:rStyle w:val="Hyperlink"/>
            <w:vertAlign w:val="subscript"/>
          </w:rPr>
          <w:t xml:space="preserve">Data Analysis</w:t>
        </w:r>
      </w:hyperlink>
    </w:p>
    <w:p>
      <w:pPr>
        <w:pStyle w:val="BodyText"/>
      </w:pPr>
      <w:r>
        <w:t xml:space="preserve">Local Boards differed in rates of desexing and classified dogs.</w:t>
      </w:r>
    </w:p>
    <w:p>
      <w:pPr>
        <w:pStyle w:val="BodyText"/>
      </w:pPr>
      <w:bookmarkStart w:id="56" w:name="map-desex"/>
      <w:r>
        <w:drawing>
          <wp:inline>
            <wp:extent cx="5334000" cy="3810000"/>
            <wp:effectExtent b="0" l="0" r="0" t="0"/>
            <wp:docPr descr="" title="" id="54" name="Picture"/>
            <a:graphic>
              <a:graphicData uri="http://schemas.openxmlformats.org/drawingml/2006/picture">
                <pic:pic>
                  <pic:nvPicPr>
                    <pic:cNvPr descr="index_files/figure-docx/notebooks-mapping-map-desex-output-2.png" id="55" name="Picture"/>
                    <pic:cNvPicPr>
                      <a:picLocks noChangeArrowheads="1" noChangeAspect="1"/>
                    </pic:cNvPicPr>
                  </pic:nvPicPr>
                  <pic:blipFill>
                    <a:blip r:embed="rId53"/>
                    <a:stretch>
                      <a:fillRect/>
                    </a:stretch>
                  </pic:blipFill>
                  <pic:spPr bwMode="auto">
                    <a:xfrm>
                      <a:off x="0" y="0"/>
                      <a:ext cx="5334000" cy="3810000"/>
                    </a:xfrm>
                    <a:prstGeom prst="rect">
                      <a:avLst/>
                    </a:prstGeom>
                    <a:noFill/>
                    <a:ln w="9525">
                      <a:noFill/>
                      <a:headEnd/>
                      <a:tailEnd/>
                    </a:ln>
                  </pic:spPr>
                </pic:pic>
              </a:graphicData>
            </a:graphic>
          </wp:inline>
        </w:drawing>
      </w:r>
      <w:bookmarkEnd w:id="56"/>
    </w:p>
    <w:p>
      <w:pPr>
        <w:pStyle w:val="BodyText"/>
      </w:pPr>
      <w:r>
        <w:rPr>
          <w:vertAlign w:val="subscript"/>
        </w:rPr>
        <w:t xml:space="preserve">Source:</w:t>
      </w:r>
      <w:r>
        <w:rPr>
          <w:vertAlign w:val="subscript"/>
        </w:rPr>
        <w:t xml:space="preserve"> </w:t>
      </w:r>
      <w:hyperlink r:id="rId57">
        <w:r>
          <w:rPr>
            <w:rStyle w:val="Hyperlink"/>
            <w:vertAlign w:val="subscript"/>
          </w:rPr>
          <w:t xml:space="preserve">Mapping</w:t>
        </w:r>
      </w:hyperlink>
    </w:p>
    <w:p>
      <w:pPr>
        <w:pStyle w:val="BodyText"/>
      </w:pPr>
      <w:bookmarkStart w:id="61" w:name="map-class"/>
      <w:r>
        <w:drawing>
          <wp:inline>
            <wp:extent cx="5334000" cy="3810000"/>
            <wp:effectExtent b="0" l="0" r="0" t="0"/>
            <wp:docPr descr="" title="" id="59" name="Picture"/>
            <a:graphic>
              <a:graphicData uri="http://schemas.openxmlformats.org/drawingml/2006/picture">
                <pic:pic>
                  <pic:nvPicPr>
                    <pic:cNvPr descr="index_files/figure-docx/notebooks-mapping-map-class-output-1.png" id="60" name="Picture"/>
                    <pic:cNvPicPr>
                      <a:picLocks noChangeArrowheads="1" noChangeAspect="1"/>
                    </pic:cNvPicPr>
                  </pic:nvPicPr>
                  <pic:blipFill>
                    <a:blip r:embed="rId58"/>
                    <a:stretch>
                      <a:fillRect/>
                    </a:stretch>
                  </pic:blipFill>
                  <pic:spPr bwMode="auto">
                    <a:xfrm>
                      <a:off x="0" y="0"/>
                      <a:ext cx="5334000" cy="3810000"/>
                    </a:xfrm>
                    <a:prstGeom prst="rect">
                      <a:avLst/>
                    </a:prstGeom>
                    <a:noFill/>
                    <a:ln w="9525">
                      <a:noFill/>
                      <a:headEnd/>
                      <a:tailEnd/>
                    </a:ln>
                  </pic:spPr>
                </pic:pic>
              </a:graphicData>
            </a:graphic>
          </wp:inline>
        </w:drawing>
      </w:r>
      <w:bookmarkEnd w:id="61"/>
    </w:p>
    <w:p>
      <w:pPr>
        <w:pStyle w:val="BodyText"/>
      </w:pPr>
      <w:r>
        <w:rPr>
          <w:vertAlign w:val="subscript"/>
        </w:rPr>
        <w:t xml:space="preserve">Source:</w:t>
      </w:r>
      <w:r>
        <w:rPr>
          <w:vertAlign w:val="subscript"/>
        </w:rPr>
        <w:t xml:space="preserve"> </w:t>
      </w:r>
      <w:hyperlink r:id="rId62">
        <w:r>
          <w:rPr>
            <w:rStyle w:val="Hyperlink"/>
            <w:vertAlign w:val="subscript"/>
          </w:rPr>
          <w:t xml:space="preserve">Mapping</w:t>
        </w:r>
      </w:hyperlink>
    </w:p>
    <w:p>
      <w:pPr>
        <w:pStyle w:val="BodyText"/>
      </w:pPr>
      <w:r>
        <w:t xml:space="preserve">A Chi-squared test revealed which dog breeds were over represented in each region, providing a snapshot of each region’s unique breed profile.</w:t>
      </w:r>
    </w:p>
    <w:p>
      <w:pPr>
        <w:pStyle w:val="BodyText"/>
      </w:pPr>
      <w:bookmarkStart w:id="66" w:name="region-breeds"/>
      <w:r>
        <w:drawing>
          <wp:inline>
            <wp:extent cx="5334000" cy="7620000"/>
            <wp:effectExtent b="0" l="0" r="0" t="0"/>
            <wp:docPr descr="" title="" id="64" name="Picture"/>
            <a:graphic>
              <a:graphicData uri="http://schemas.openxmlformats.org/drawingml/2006/picture">
                <pic:pic>
                  <pic:nvPicPr>
                    <pic:cNvPr descr="index_files/figure-docx/notebooks-data-analysis-region-breeds-output-1.png" id="65" name="Picture"/>
                    <pic:cNvPicPr>
                      <a:picLocks noChangeArrowheads="1" noChangeAspect="1"/>
                    </pic:cNvPicPr>
                  </pic:nvPicPr>
                  <pic:blipFill>
                    <a:blip r:embed="rId63"/>
                    <a:stretch>
                      <a:fillRect/>
                    </a:stretch>
                  </pic:blipFill>
                  <pic:spPr bwMode="auto">
                    <a:xfrm>
                      <a:off x="0" y="0"/>
                      <a:ext cx="5334000" cy="7620000"/>
                    </a:xfrm>
                    <a:prstGeom prst="rect">
                      <a:avLst/>
                    </a:prstGeom>
                    <a:noFill/>
                    <a:ln w="9525">
                      <a:noFill/>
                      <a:headEnd/>
                      <a:tailEnd/>
                    </a:ln>
                  </pic:spPr>
                </pic:pic>
              </a:graphicData>
            </a:graphic>
          </wp:inline>
        </w:drawing>
      </w:r>
      <w:bookmarkEnd w:id="66"/>
    </w:p>
    <w:p>
      <w:pPr>
        <w:pStyle w:val="BodyText"/>
      </w:pPr>
      <w:r>
        <w:rPr>
          <w:vertAlign w:val="subscript"/>
        </w:rPr>
        <w:t xml:space="preserve">Source:</w:t>
      </w:r>
      <w:r>
        <w:rPr>
          <w:vertAlign w:val="subscript"/>
        </w:rPr>
        <w:t xml:space="preserve"> </w:t>
      </w:r>
      <w:hyperlink r:id="rId67">
        <w:r>
          <w:rPr>
            <w:rStyle w:val="Hyperlink"/>
            <w:vertAlign w:val="subscript"/>
          </w:rPr>
          <w:t xml:space="preserve">Data Analysis</w:t>
        </w:r>
      </w:hyperlink>
    </w:p>
    <w:p>
      <w:pPr>
        <w:pStyle w:val="BodyText"/>
      </w:pPr>
      <w:r>
        <w:t xml:space="preserve">Local Boards differed greatly in the rate of dog attacks, impounds, and euthanasia of impounded dogs.</w:t>
      </w:r>
    </w:p>
    <w:p>
      <w:pPr>
        <w:pStyle w:val="BodyText"/>
      </w:pPr>
      <w:bookmarkStart w:id="71" w:name="map-attacks"/>
      <w:r>
        <w:drawing>
          <wp:inline>
            <wp:extent cx="5334000" cy="3810000"/>
            <wp:effectExtent b="0" l="0" r="0" t="0"/>
            <wp:docPr descr="" title="" id="69" name="Picture"/>
            <a:graphic>
              <a:graphicData uri="http://schemas.openxmlformats.org/drawingml/2006/picture">
                <pic:pic>
                  <pic:nvPicPr>
                    <pic:cNvPr descr="index_files/figure-docx/notebooks-mapping-map-attacks-output-1.png" id="70" name="Picture"/>
                    <pic:cNvPicPr>
                      <a:picLocks noChangeArrowheads="1" noChangeAspect="1"/>
                    </pic:cNvPicPr>
                  </pic:nvPicPr>
                  <pic:blipFill>
                    <a:blip r:embed="rId68"/>
                    <a:stretch>
                      <a:fillRect/>
                    </a:stretch>
                  </pic:blipFill>
                  <pic:spPr bwMode="auto">
                    <a:xfrm>
                      <a:off x="0" y="0"/>
                      <a:ext cx="5334000" cy="3810000"/>
                    </a:xfrm>
                    <a:prstGeom prst="rect">
                      <a:avLst/>
                    </a:prstGeom>
                    <a:noFill/>
                    <a:ln w="9525">
                      <a:noFill/>
                      <a:headEnd/>
                      <a:tailEnd/>
                    </a:ln>
                  </pic:spPr>
                </pic:pic>
              </a:graphicData>
            </a:graphic>
          </wp:inline>
        </w:drawing>
      </w:r>
      <w:bookmarkEnd w:id="71"/>
    </w:p>
    <w:p>
      <w:pPr>
        <w:pStyle w:val="BodyText"/>
      </w:pPr>
      <w:r>
        <w:rPr>
          <w:vertAlign w:val="subscript"/>
        </w:rPr>
        <w:t xml:space="preserve">Source:</w:t>
      </w:r>
      <w:r>
        <w:rPr>
          <w:vertAlign w:val="subscript"/>
        </w:rPr>
        <w:t xml:space="preserve"> </w:t>
      </w:r>
      <w:hyperlink r:id="rId72">
        <w:r>
          <w:rPr>
            <w:rStyle w:val="Hyperlink"/>
            <w:vertAlign w:val="subscript"/>
          </w:rPr>
          <w:t xml:space="preserve">Mapping</w:t>
        </w:r>
      </w:hyperlink>
    </w:p>
    <w:p>
      <w:pPr>
        <w:pStyle w:val="BodyText"/>
      </w:pPr>
      <w:bookmarkStart w:id="76" w:name="map-impounds"/>
      <w:r>
        <w:drawing>
          <wp:inline>
            <wp:extent cx="5334000" cy="3810000"/>
            <wp:effectExtent b="0" l="0" r="0" t="0"/>
            <wp:docPr descr="" title="" id="74" name="Picture"/>
            <a:graphic>
              <a:graphicData uri="http://schemas.openxmlformats.org/drawingml/2006/picture">
                <pic:pic>
                  <pic:nvPicPr>
                    <pic:cNvPr descr="index_files/figure-docx/notebooks-mapping-map-impounds-output-1.png" id="75" name="Picture"/>
                    <pic:cNvPicPr>
                      <a:picLocks noChangeArrowheads="1" noChangeAspect="1"/>
                    </pic:cNvPicPr>
                  </pic:nvPicPr>
                  <pic:blipFill>
                    <a:blip r:embed="rId73"/>
                    <a:stretch>
                      <a:fillRect/>
                    </a:stretch>
                  </pic:blipFill>
                  <pic:spPr bwMode="auto">
                    <a:xfrm>
                      <a:off x="0" y="0"/>
                      <a:ext cx="5334000" cy="3810000"/>
                    </a:xfrm>
                    <a:prstGeom prst="rect">
                      <a:avLst/>
                    </a:prstGeom>
                    <a:noFill/>
                    <a:ln w="9525">
                      <a:noFill/>
                      <a:headEnd/>
                      <a:tailEnd/>
                    </a:ln>
                  </pic:spPr>
                </pic:pic>
              </a:graphicData>
            </a:graphic>
          </wp:inline>
        </w:drawing>
      </w:r>
      <w:bookmarkEnd w:id="76"/>
    </w:p>
    <w:p>
      <w:pPr>
        <w:pStyle w:val="BodyText"/>
      </w:pPr>
      <w:r>
        <w:rPr>
          <w:vertAlign w:val="subscript"/>
        </w:rPr>
        <w:t xml:space="preserve">Source:</w:t>
      </w:r>
      <w:r>
        <w:rPr>
          <w:vertAlign w:val="subscript"/>
        </w:rPr>
        <w:t xml:space="preserve"> </w:t>
      </w:r>
      <w:hyperlink r:id="rId77">
        <w:r>
          <w:rPr>
            <w:rStyle w:val="Hyperlink"/>
            <w:vertAlign w:val="subscript"/>
          </w:rPr>
          <w:t xml:space="preserve">Mapping</w:t>
        </w:r>
      </w:hyperlink>
    </w:p>
    <w:p>
      <w:pPr>
        <w:pStyle w:val="BodyText"/>
      </w:pPr>
      <w:bookmarkStart w:id="81" w:name="map-euth"/>
      <w:r>
        <w:drawing>
          <wp:inline>
            <wp:extent cx="5334000" cy="3810000"/>
            <wp:effectExtent b="0" l="0" r="0" t="0"/>
            <wp:docPr descr="" title="" id="79" name="Picture"/>
            <a:graphic>
              <a:graphicData uri="http://schemas.openxmlformats.org/drawingml/2006/picture">
                <pic:pic>
                  <pic:nvPicPr>
                    <pic:cNvPr descr="index_files/figure-docx/notebooks-mapping-map-euth-output-1.png" id="80" name="Picture"/>
                    <pic:cNvPicPr>
                      <a:picLocks noChangeArrowheads="1" noChangeAspect="1"/>
                    </pic:cNvPicPr>
                  </pic:nvPicPr>
                  <pic:blipFill>
                    <a:blip r:embed="rId78"/>
                    <a:stretch>
                      <a:fillRect/>
                    </a:stretch>
                  </pic:blipFill>
                  <pic:spPr bwMode="auto">
                    <a:xfrm>
                      <a:off x="0" y="0"/>
                      <a:ext cx="5334000" cy="3810000"/>
                    </a:xfrm>
                    <a:prstGeom prst="rect">
                      <a:avLst/>
                    </a:prstGeom>
                    <a:noFill/>
                    <a:ln w="9525">
                      <a:noFill/>
                      <a:headEnd/>
                      <a:tailEnd/>
                    </a:ln>
                  </pic:spPr>
                </pic:pic>
              </a:graphicData>
            </a:graphic>
          </wp:inline>
        </w:drawing>
      </w:r>
      <w:bookmarkEnd w:id="81"/>
    </w:p>
    <w:p>
      <w:pPr>
        <w:pStyle w:val="BodyText"/>
      </w:pPr>
      <w:r>
        <w:rPr>
          <w:vertAlign w:val="subscript"/>
        </w:rPr>
        <w:t xml:space="preserve">Source:</w:t>
      </w:r>
      <w:r>
        <w:rPr>
          <w:vertAlign w:val="subscript"/>
        </w:rPr>
        <w:t xml:space="preserve"> </w:t>
      </w:r>
      <w:hyperlink r:id="rId82">
        <w:r>
          <w:rPr>
            <w:rStyle w:val="Hyperlink"/>
            <w:vertAlign w:val="subscript"/>
          </w:rPr>
          <w:t xml:space="preserve">Mapping</w:t>
        </w:r>
      </w:hyperlink>
    </w:p>
    <w:p>
      <w:pPr>
        <w:pStyle w:val="BodyText"/>
      </w:pPr>
      <w:bookmarkStart w:id="86" w:name="euth-board"/>
      <w:r>
        <w:drawing>
          <wp:inline>
            <wp:extent cx="5334000" cy="3810000"/>
            <wp:effectExtent b="0" l="0" r="0" t="0"/>
            <wp:docPr descr="" title="" id="84" name="Picture"/>
            <a:graphic>
              <a:graphicData uri="http://schemas.openxmlformats.org/drawingml/2006/picture">
                <pic:pic>
                  <pic:nvPicPr>
                    <pic:cNvPr descr="index_files/figure-docx/notebooks-data-analysis-euth-board-output-2.png" id="85" name="Picture"/>
                    <pic:cNvPicPr>
                      <a:picLocks noChangeArrowheads="1" noChangeAspect="1"/>
                    </pic:cNvPicPr>
                  </pic:nvPicPr>
                  <pic:blipFill>
                    <a:blip r:embed="rId83"/>
                    <a:stretch>
                      <a:fillRect/>
                    </a:stretch>
                  </pic:blipFill>
                  <pic:spPr bwMode="auto">
                    <a:xfrm>
                      <a:off x="0" y="0"/>
                      <a:ext cx="5334000" cy="3810000"/>
                    </a:xfrm>
                    <a:prstGeom prst="rect">
                      <a:avLst/>
                    </a:prstGeom>
                    <a:noFill/>
                    <a:ln w="9525">
                      <a:noFill/>
                      <a:headEnd/>
                      <a:tailEnd/>
                    </a:ln>
                  </pic:spPr>
                </pic:pic>
              </a:graphicData>
            </a:graphic>
          </wp:inline>
        </w:drawing>
      </w:r>
      <w:bookmarkEnd w:id="86"/>
    </w:p>
    <w:p>
      <w:pPr>
        <w:pStyle w:val="BodyText"/>
      </w:pPr>
      <w:r>
        <w:rPr>
          <w:vertAlign w:val="subscript"/>
        </w:rPr>
        <w:t xml:space="preserve">Source:</w:t>
      </w:r>
      <w:r>
        <w:rPr>
          <w:vertAlign w:val="subscript"/>
        </w:rPr>
        <w:t xml:space="preserve"> </w:t>
      </w:r>
      <w:hyperlink r:id="rId87">
        <w:r>
          <w:rPr>
            <w:rStyle w:val="Hyperlink"/>
            <w:vertAlign w:val="subscript"/>
          </w:rPr>
          <w:t xml:space="preserve">Data Analysis</w:t>
        </w:r>
      </w:hyperlink>
    </w:p>
    <w:bookmarkEnd w:id="88"/>
    <w:bookmarkStart w:id="89" w:name="action"/>
    <w:p>
      <w:pPr>
        <w:pStyle w:val="Heading2"/>
      </w:pPr>
      <w:r>
        <w:t xml:space="preserve">7 Action</w:t>
      </w:r>
    </w:p>
    <w:p>
      <w:pPr>
        <w:pStyle w:val="FirstParagraph"/>
      </w:pPr>
      <w:r>
        <w:t xml:space="preserve">The government announced a review of the Dog Control Act 1996 in March 2026</w:t>
      </w:r>
      <w:r>
        <w:rPr>
          <w:vertAlign w:val="superscript"/>
        </w:rPr>
        <w:t xml:space="preserve">15</w:t>
      </w:r>
      <w:r>
        <w:t xml:space="preserve">. A number of professional and advocacy organisations have previously issued position statements and called for urgent policy reform to address the growing issue of dog control in New Zealand. All are united in their desire that dog control policy be evidence-based and preventative in nature. The New Zealand Veterinary Association</w:t>
      </w:r>
      <w:r>
        <w:rPr>
          <w:vertAlign w:val="superscript"/>
        </w:rPr>
        <w:t xml:space="preserve">16</w:t>
      </w:r>
      <w:r>
        <w:t xml:space="preserve"> </w:t>
      </w:r>
      <w:r>
        <w:t xml:space="preserve">has called for</w:t>
      </w:r>
    </w:p>
    <w:p>
      <w:pPr>
        <w:pStyle w:val="BlockText"/>
      </w:pPr>
      <w:r>
        <w:t xml:space="preserve">a comprehensive plan delivered across multiple agencies that work together to address each factor. These agencies [would] include local and central government, animal control personnel, the veterinary profession, the medical profession, dog trainers and behaviourists, educators, dog breeders, dog welfare agencies and the media.</w:t>
      </w:r>
    </w:p>
    <w:p>
      <w:pPr>
        <w:pStyle w:val="FirstParagraph"/>
      </w:pPr>
      <w:r>
        <w:t xml:space="preserve">The New Zealand SPCA has issued position statements on dog safety</w:t>
      </w:r>
      <w:r>
        <w:rPr>
          <w:vertAlign w:val="superscript"/>
        </w:rPr>
        <w:t xml:space="preserve">17</w:t>
      </w:r>
      <w:r>
        <w:t xml:space="preserve"> </w:t>
      </w:r>
      <w:r>
        <w:t xml:space="preserve">and breed-specific legislation</w:t>
      </w:r>
      <w:r>
        <w:rPr>
          <w:vertAlign w:val="superscript"/>
        </w:rPr>
        <w:t xml:space="preserve">18</w:t>
      </w:r>
      <w:r>
        <w:t xml:space="preserve">, while the Paediatric Society of New Zealand</w:t>
      </w:r>
      <w:r>
        <w:rPr>
          <w:vertAlign w:val="superscript"/>
        </w:rPr>
        <w:t xml:space="preserve">19</w:t>
      </w:r>
      <w:r>
        <w:t xml:space="preserve"> </w:t>
      </w:r>
      <w:r>
        <w:t xml:space="preserve">is concerned about the disproportionate impact of dog attacks on children. A number of academic studies and reviews have also investigated dog control in New Zealand</w:t>
      </w:r>
      <w:r>
        <w:rPr>
          <w:vertAlign w:val="superscript"/>
        </w:rPr>
        <w:t xml:space="preserve">20,20–23</w:t>
      </w:r>
      <w:r>
        <w:t xml:space="preserve">.</w:t>
      </w:r>
    </w:p>
    <w:p>
      <w:pPr>
        <w:pStyle w:val="BodyText"/>
      </w:pPr>
      <w:r>
        <w:t xml:space="preserve">Major recommendations include:</w:t>
      </w:r>
    </w:p>
    <w:p>
      <w:pPr>
        <w:numPr>
          <w:ilvl w:val="0"/>
          <w:numId w:val="1003"/>
        </w:numPr>
      </w:pPr>
      <w:r>
        <w:t xml:space="preserve">The application of kaupapa Māori approaches in the development and implementation of dog control strategies to ensure solutions are grounded in tikanga and reflect local aspirations.</w:t>
      </w:r>
    </w:p>
    <w:p>
      <w:pPr>
        <w:numPr>
          <w:ilvl w:val="0"/>
          <w:numId w:val="1003"/>
        </w:numPr>
      </w:pPr>
      <w:r>
        <w:t xml:space="preserve">The treatment of dog ownership as a privelege instead of a right, with a corresponding set of responsibilities reinforced through compulsory owner licensing and education.</w:t>
      </w:r>
    </w:p>
    <w:p>
      <w:pPr>
        <w:numPr>
          <w:ilvl w:val="0"/>
          <w:numId w:val="1003"/>
        </w:numPr>
      </w:pPr>
      <w:r>
        <w:t xml:space="preserve">The compulsory registration, desexing, and microchipping of all dogs.</w:t>
      </w:r>
    </w:p>
    <w:p>
      <w:pPr>
        <w:numPr>
          <w:ilvl w:val="0"/>
          <w:numId w:val="1003"/>
        </w:numPr>
      </w:pPr>
      <w:r>
        <w:t xml:space="preserve">The removal of breed-specific legislation due to a lack of evidence that breed is the largest contributing factor to dog bite events, that determining breed by appearance is unreliable, that it has failed to work overseas, and that it does not promote responsible dog ownership.</w:t>
      </w:r>
    </w:p>
    <w:p>
      <w:pPr>
        <w:numPr>
          <w:ilvl w:val="0"/>
          <w:numId w:val="1003"/>
        </w:numPr>
      </w:pPr>
      <w:r>
        <w:t xml:space="preserve">The introduction of a revised classification system based on behaviour instead of breed, which takes into account the context in whcih the aggressive behaviour ocurred, and which places increasingly stringent conditions on the dog and owner, while also providing a pathway for rehabilitation and the removal of the classification.</w:t>
      </w:r>
    </w:p>
    <w:p>
      <w:pPr>
        <w:numPr>
          <w:ilvl w:val="0"/>
          <w:numId w:val="1003"/>
        </w:numPr>
      </w:pPr>
      <w:r>
        <w:t xml:space="preserve">The regulation of breeding through a permit system administered by territorial authorities to recognise that breeding feeds directly into supply, and an oversupply of dog leads to overflowing shelters and roaming.</w:t>
      </w:r>
    </w:p>
    <w:p>
      <w:pPr>
        <w:numPr>
          <w:ilvl w:val="0"/>
          <w:numId w:val="1003"/>
        </w:numPr>
      </w:pPr>
      <w:r>
        <w:t xml:space="preserve">The introduction of targeted education programmes to first-time dog owners, owners whose dog has displayed aggresion or has attacked a person, and in areas with high incidences of dog attacks and roaming, delivered by a combination of dog breeders, veterniary clinics, and territorial authorities.</w:t>
      </w:r>
    </w:p>
    <w:p>
      <w:pPr>
        <w:numPr>
          <w:ilvl w:val="0"/>
          <w:numId w:val="1003"/>
        </w:numPr>
      </w:pPr>
      <w:r>
        <w:t xml:space="preserve">The resourcing of enforcement mechanisms to properly deal with irresponsible owners and their dogs within a consistent nation-wide framework, including supporting Animal Management Officers with the budgets, training, and powers they need to do their jobs properly.</w:t>
      </w:r>
    </w:p>
    <w:p>
      <w:pPr>
        <w:numPr>
          <w:ilvl w:val="0"/>
          <w:numId w:val="1003"/>
        </w:numPr>
      </w:pPr>
      <w:r>
        <w:t xml:space="preserve">The introduction of compulsory nation-wide notification of dog bites or dog-related injuries to the Territorial Authority in which the incident occurred.</w:t>
      </w:r>
    </w:p>
    <w:p>
      <w:pPr>
        <w:numPr>
          <w:ilvl w:val="0"/>
          <w:numId w:val="1003"/>
        </w:numPr>
      </w:pPr>
      <w:r>
        <w:t xml:space="preserve">The amendment of legislation to require that dogs are properly fenced or constrained on their property to prevent roaming and attacks, especially on children, the elderly, disabled, and other vulnerable groups.</w:t>
      </w:r>
    </w:p>
    <w:p>
      <w:pPr>
        <w:numPr>
          <w:ilvl w:val="0"/>
          <w:numId w:val="1003"/>
        </w:numPr>
      </w:pPr>
      <w:r>
        <w:t xml:space="preserve">The introduction of standardised data collection and reporting at the level of territorial authorities, which feeds into a national database of dog-related injuries, to better track trends and identify where interventions may be most effective.</w:t>
      </w:r>
    </w:p>
    <w:p>
      <w:pPr>
        <w:numPr>
          <w:ilvl w:val="0"/>
          <w:numId w:val="1003"/>
        </w:numPr>
      </w:pPr>
      <w:r>
        <w:t xml:space="preserve">The funding and conducting of research into interventions which reduce the incidence of dog-related injuries, especially in children.</w:t>
      </w:r>
    </w:p>
    <w:bookmarkEnd w:id="89"/>
    <w:bookmarkStart w:id="135" w:name="references"/>
    <w:p>
      <w:pPr>
        <w:pStyle w:val="Heading2"/>
      </w:pPr>
      <w:r>
        <w:t xml:space="preserve">8 References</w:t>
      </w:r>
    </w:p>
    <w:bookmarkStart w:id="134" w:name="refs"/>
    <w:bookmarkStart w:id="91" w:name="ref-anonymous2025"/>
    <w:p>
      <w:pPr>
        <w:pStyle w:val="Bibliography"/>
      </w:pPr>
      <w:r>
        <w:t xml:space="preserve">1.</w:t>
      </w:r>
      <w:r>
        <w:t xml:space="preserve"> </w:t>
      </w:r>
      <w:r>
        <w:t xml:space="preserve">	</w:t>
      </w:r>
      <w:r>
        <w:t xml:space="preserve">Anonymous. Far north man abel wira found guilty of manslaughter after dogs maul neville thomson to death.</w:t>
      </w:r>
      <w:r>
        <w:t xml:space="preserve"> </w:t>
      </w:r>
      <w:r>
        <w:rPr>
          <w:i/>
          <w:iCs/>
        </w:rPr>
        <w:t xml:space="preserve">RNZ</w:t>
      </w:r>
      <w:r>
        <w:t xml:space="preserve">. Published online August 26, 2025.</w:t>
      </w:r>
      <w:r>
        <w:t xml:space="preserve"> </w:t>
      </w:r>
      <w:hyperlink r:id="rId90">
        <w:r>
          <w:rPr>
            <w:rStyle w:val="Hyperlink"/>
          </w:rPr>
          <w:t xml:space="preserve">https://www.rnz.co.nz/news/national/571133/far-north-man-abel-wira-found-guilty-of-manslaughter-after-dogs-maul-neville-thomson-to-death</w:t>
        </w:r>
      </w:hyperlink>
    </w:p>
    <w:bookmarkEnd w:id="91"/>
    <w:bookmarkStart w:id="93" w:name="ref-anonymous2023"/>
    <w:p>
      <w:pPr>
        <w:pStyle w:val="Bibliography"/>
      </w:pPr>
      <w:r>
        <w:t xml:space="preserve">2.</w:t>
      </w:r>
      <w:r>
        <w:t xml:space="preserve"> </w:t>
      </w:r>
      <w:r>
        <w:t xml:space="preserve">	</w:t>
      </w:r>
      <w:r>
        <w:t xml:space="preserve">Anonymous. Well-known and loved northland woman to be farewelled after fatal dog attack.</w:t>
      </w:r>
      <w:r>
        <w:t xml:space="preserve"> </w:t>
      </w:r>
      <w:r>
        <w:rPr>
          <w:i/>
          <w:iCs/>
        </w:rPr>
        <w:t xml:space="preserve">RNZ</w:t>
      </w:r>
      <w:r>
        <w:t xml:space="preserve">. Published online October 16, 2023.</w:t>
      </w:r>
      <w:r>
        <w:t xml:space="preserve"> </w:t>
      </w:r>
      <w:hyperlink r:id="rId92">
        <w:r>
          <w:rPr>
            <w:rStyle w:val="Hyperlink"/>
          </w:rPr>
          <w:t xml:space="preserve">https://www.rnz.co.nz/news/national/500293/well-known-and-loved-northland-woman-to-be-farewelled-after-fatal-dog-attack</w:t>
        </w:r>
      </w:hyperlink>
    </w:p>
    <w:bookmarkEnd w:id="93"/>
    <w:bookmarkStart w:id="95" w:name="ref-womanch2026"/>
    <w:p>
      <w:pPr>
        <w:pStyle w:val="Bibliography"/>
      </w:pPr>
      <w:r>
        <w:t xml:space="preserve">3.</w:t>
      </w:r>
      <w:r>
        <w:t xml:space="preserve"> </w:t>
      </w:r>
      <w:r>
        <w:t xml:space="preserve">	</w:t>
      </w:r>
      <w:r>
        <w:t xml:space="preserve">Anonymous. Woman charged after dog kills 4-year-old.</w:t>
      </w:r>
      <w:r>
        <w:t xml:space="preserve"> </w:t>
      </w:r>
      <w:r>
        <w:rPr>
          <w:i/>
          <w:iCs/>
        </w:rPr>
        <w:t xml:space="preserve">RNZ</w:t>
      </w:r>
      <w:r>
        <w:t xml:space="preserve">. Published online March 9, 2026.</w:t>
      </w:r>
      <w:r>
        <w:t xml:space="preserve"> </w:t>
      </w:r>
      <w:hyperlink r:id="rId94">
        <w:r>
          <w:rPr>
            <w:rStyle w:val="Hyperlink"/>
          </w:rPr>
          <w:t xml:space="preserve">https://www.rnz.co.nz/news/national/589066/woman-charged-after-dog-kills-4-year-old</w:t>
        </w:r>
      </w:hyperlink>
    </w:p>
    <w:bookmarkEnd w:id="95"/>
    <w:bookmarkStart w:id="97" w:name="ref-anonymous2026"/>
    <w:p>
      <w:pPr>
        <w:pStyle w:val="Bibliography"/>
      </w:pPr>
      <w:r>
        <w:t xml:space="preserve">4.</w:t>
      </w:r>
      <w:r>
        <w:t xml:space="preserve"> </w:t>
      </w:r>
      <w:r>
        <w:t xml:space="preserve">	</w:t>
      </w:r>
      <w:r>
        <w:t xml:space="preserve">Anonymous. Woman killed by dogs in kaihu named as mihiata te rore. Published online February 18, 2026.</w:t>
      </w:r>
      <w:r>
        <w:t xml:space="preserve"> </w:t>
      </w:r>
      <w:hyperlink r:id="rId96">
        <w:r>
          <w:rPr>
            <w:rStyle w:val="Hyperlink"/>
          </w:rPr>
          <w:t xml:space="preserve">https://www.rnz.co.nz/news/national/587195/woman-killed-by-dogs-in-kaihu-named-as-mihiata-te-rore</w:t>
        </w:r>
      </w:hyperlink>
    </w:p>
    <w:bookmarkEnd w:id="97"/>
    <w:bookmarkStart w:id="99" w:name="ref-anonymous2022"/>
    <w:p>
      <w:pPr>
        <w:pStyle w:val="Bibliography"/>
      </w:pPr>
      <w:r>
        <w:t xml:space="preserve">5.</w:t>
      </w:r>
      <w:r>
        <w:t xml:space="preserve"> </w:t>
      </w:r>
      <w:r>
        <w:t xml:space="preserve">	</w:t>
      </w:r>
      <w:r>
        <w:t xml:space="preserve">Anonymous. Killer dogs driving northland farmers from owning sheep.</w:t>
      </w:r>
      <w:r>
        <w:t xml:space="preserve"> </w:t>
      </w:r>
      <w:r>
        <w:rPr>
          <w:i/>
          <w:iCs/>
        </w:rPr>
        <w:t xml:space="preserve">RNZ</w:t>
      </w:r>
      <w:r>
        <w:t xml:space="preserve">. Published online September 19, 2022.</w:t>
      </w:r>
      <w:r>
        <w:t xml:space="preserve"> </w:t>
      </w:r>
      <w:hyperlink r:id="rId98">
        <w:r>
          <w:rPr>
            <w:rStyle w:val="Hyperlink"/>
          </w:rPr>
          <w:t xml:space="preserve">https://www.rnz.co.nz/news/country/475078/killer-dogs-driving-northland-farmers-from-owning-sheep</w:t>
        </w:r>
      </w:hyperlink>
    </w:p>
    <w:bookmarkEnd w:id="99"/>
    <w:bookmarkStart w:id="101" w:name="ref-walton2024"/>
    <w:p>
      <w:pPr>
        <w:pStyle w:val="Bibliography"/>
      </w:pPr>
      <w:r>
        <w:t xml:space="preserve">6.</w:t>
      </w:r>
      <w:r>
        <w:t xml:space="preserve"> </w:t>
      </w:r>
      <w:r>
        <w:t xml:space="preserve">	</w:t>
      </w:r>
      <w:r>
        <w:t xml:space="preserve">Walton F, reporter</w:t>
      </w:r>
      <w:r>
        <w:t xml:space="preserve">. Roaming dogs kill up to 30 cats in one suburb as residents live in fear.</w:t>
      </w:r>
      <w:r>
        <w:t xml:space="preserve"> </w:t>
      </w:r>
      <w:r>
        <w:rPr>
          <w:i/>
          <w:iCs/>
        </w:rPr>
        <w:t xml:space="preserve">RNZ</w:t>
      </w:r>
      <w:r>
        <w:t xml:space="preserve">. Published online April 9, 2024.</w:t>
      </w:r>
      <w:r>
        <w:t xml:space="preserve"> </w:t>
      </w:r>
      <w:hyperlink r:id="rId100">
        <w:r>
          <w:rPr>
            <w:rStyle w:val="Hyperlink"/>
          </w:rPr>
          <w:t xml:space="preserve">https://www.rnz.co.nz/news/national/513774/roaming-dogs-kill-up-to-30-cats-in-one-suburb-as-residents-live-in-fear</w:t>
        </w:r>
      </w:hyperlink>
    </w:p>
    <w:bookmarkEnd w:id="101"/>
    <w:bookmarkStart w:id="103" w:name="ref-anonymous2025a"/>
    <w:p>
      <w:pPr>
        <w:pStyle w:val="Bibliography"/>
      </w:pPr>
      <w:r>
        <w:t xml:space="preserve">7.</w:t>
      </w:r>
      <w:r>
        <w:t xml:space="preserve"> </w:t>
      </w:r>
      <w:r>
        <w:t xml:space="preserve">	</w:t>
      </w:r>
      <w:r>
        <w:t xml:space="preserve">Anonymous. Attacks on guide dogs leave animals too anxious to work.</w:t>
      </w:r>
      <w:r>
        <w:t xml:space="preserve"> </w:t>
      </w:r>
      <w:r>
        <w:rPr>
          <w:i/>
          <w:iCs/>
        </w:rPr>
        <w:t xml:space="preserve">RNZ</w:t>
      </w:r>
      <w:r>
        <w:t xml:space="preserve">. Published online December 16, 2025.</w:t>
      </w:r>
      <w:r>
        <w:t xml:space="preserve"> </w:t>
      </w:r>
      <w:hyperlink r:id="rId102">
        <w:r>
          <w:rPr>
            <w:rStyle w:val="Hyperlink"/>
          </w:rPr>
          <w:t xml:space="preserve">https://www.rnz.co.nz/news/national/581994/attacks-on-guide-dogs-leave-animals-too-anxious-to-work</w:t>
        </w:r>
      </w:hyperlink>
    </w:p>
    <w:bookmarkEnd w:id="103"/>
    <w:bookmarkStart w:id="105" w:name="ref-afemata2025"/>
    <w:p>
      <w:pPr>
        <w:pStyle w:val="Bibliography"/>
      </w:pPr>
      <w:r>
        <w:t xml:space="preserve">8.</w:t>
      </w:r>
      <w:r>
        <w:t xml:space="preserve"> </w:t>
      </w:r>
      <w:r>
        <w:t xml:space="preserve">	</w:t>
      </w:r>
      <w:r>
        <w:t xml:space="preserve">Afemata TM. ’I</w:t>
      </w:r>
      <w:r>
        <w:t xml:space="preserve">’</w:t>
      </w:r>
      <w:r>
        <w:t xml:space="preserve">m so scared’: Crack down on roaming dogs as residents live in fear.</w:t>
      </w:r>
      <w:r>
        <w:t xml:space="preserve"> </w:t>
      </w:r>
      <w:r>
        <w:rPr>
          <w:i/>
          <w:iCs/>
        </w:rPr>
        <w:t xml:space="preserve">Pacific Media Network</w:t>
      </w:r>
      <w:r>
        <w:t xml:space="preserve">. Published online February 26, 2025.</w:t>
      </w:r>
      <w:r>
        <w:t xml:space="preserve"> </w:t>
      </w:r>
      <w:hyperlink r:id="rId104">
        <w:r>
          <w:rPr>
            <w:rStyle w:val="Hyperlink"/>
          </w:rPr>
          <w:t xml:space="preserve">https://pmn.co.nz/read/news/i-m-so-scared-crack-down-on-roaming-dogs-as-residents-live-in-fear</w:t>
        </w:r>
      </w:hyperlink>
    </w:p>
    <w:bookmarkEnd w:id="105"/>
    <w:bookmarkStart w:id="107" w:name="ref-paddygower2025"/>
    <w:p>
      <w:pPr>
        <w:pStyle w:val="Bibliography"/>
      </w:pPr>
      <w:r>
        <w:t xml:space="preserve">9.</w:t>
      </w:r>
      <w:r>
        <w:t xml:space="preserve"> </w:t>
      </w:r>
      <w:r>
        <w:t xml:space="preserve">	</w:t>
      </w:r>
      <w:r>
        <w:t xml:space="preserve">Paddy Gower.</w:t>
      </w:r>
      <w:r>
        <w:t xml:space="preserve"> </w:t>
      </w:r>
      <w:r>
        <w:t xml:space="preserve">‘</w:t>
      </w:r>
      <w:r>
        <w:t xml:space="preserve">Causing truancy</w:t>
      </w:r>
      <w:r>
        <w:t xml:space="preserve">’</w:t>
      </w:r>
      <w:r>
        <w:t xml:space="preserve">: Children too afraid to walk to school because of dangerous dogs | stuff.</w:t>
      </w:r>
      <w:r>
        <w:t xml:space="preserve"> </w:t>
      </w:r>
      <w:r>
        <w:rPr>
          <w:i/>
          <w:iCs/>
        </w:rPr>
        <w:t xml:space="preserve">Stuffconz</w:t>
      </w:r>
      <w:r>
        <w:t xml:space="preserve">. Published online September 10, 2025.</w:t>
      </w:r>
      <w:r>
        <w:t xml:space="preserve"> </w:t>
      </w:r>
      <w:hyperlink r:id="rId106">
        <w:r>
          <w:rPr>
            <w:rStyle w:val="Hyperlink"/>
          </w:rPr>
          <w:t xml:space="preserve">https://www.stuff.co.nz/nz-news/360818146/causing-truancy-children-too-afraid-walk-school-because-dangerous-dogs</w:t>
        </w:r>
      </w:hyperlink>
    </w:p>
    <w:bookmarkEnd w:id="107"/>
    <w:bookmarkStart w:id="109" w:name="ref-departmentofinternalaffairs1996"/>
    <w:p>
      <w:pPr>
        <w:pStyle w:val="Bibliography"/>
      </w:pPr>
      <w:r>
        <w:t xml:space="preserve">10.</w:t>
      </w:r>
      <w:r>
        <w:t xml:space="preserve"> </w:t>
      </w:r>
      <w:r>
        <w:t xml:space="preserve">	</w:t>
      </w:r>
      <w:r>
        <w:t xml:space="preserve">Department of Internal Affairs. Dog control act 1996. Published online May 2, 1996.</w:t>
      </w:r>
      <w:r>
        <w:t xml:space="preserve"> </w:t>
      </w:r>
      <w:hyperlink r:id="rId108">
        <w:r>
          <w:rPr>
            <w:rStyle w:val="Hyperlink"/>
          </w:rPr>
          <w:t xml:space="preserve">https://www.legislation.govt.nz/act/public/1996/0013/latest/whole.html#DLM374410</w:t>
        </w:r>
      </w:hyperlink>
    </w:p>
    <w:bookmarkEnd w:id="109"/>
    <w:bookmarkStart w:id="110" w:name="ref-aucklandcouncil2025a"/>
    <w:p>
      <w:pPr>
        <w:pStyle w:val="Bibliography"/>
      </w:pPr>
      <w:r>
        <w:t xml:space="preserve">11.</w:t>
      </w:r>
      <w:r>
        <w:t xml:space="preserve"> </w:t>
      </w:r>
      <w:r>
        <w:t xml:space="preserve">	</w:t>
      </w:r>
      <w:r>
        <w:t xml:space="preserve">Auckland Council. Dog management bylaw 2019. Published online 2025.</w:t>
      </w:r>
    </w:p>
    <w:bookmarkEnd w:id="110"/>
    <w:bookmarkStart w:id="112" w:name="ref-aucklandcouncil2025b"/>
    <w:p>
      <w:pPr>
        <w:pStyle w:val="Bibliography"/>
      </w:pPr>
      <w:r>
        <w:t xml:space="preserve">12.</w:t>
      </w:r>
      <w:r>
        <w:t xml:space="preserve"> </w:t>
      </w:r>
      <w:r>
        <w:t xml:space="preserve">	</w:t>
      </w:r>
      <w:r>
        <w:t xml:space="preserve">Auckland Council. Policy on dogs 2025. Published online 2025.</w:t>
      </w:r>
      <w:r>
        <w:t xml:space="preserve"> </w:t>
      </w:r>
      <w:hyperlink r:id="rId111">
        <w:r>
          <w:rPr>
            <w:rStyle w:val="Hyperlink"/>
          </w:rPr>
          <w:t xml:space="preserve">https://www.aucklandcouncil.govt.nz/content/dam/ac/docs/plans-projects-policies-reports-bylaws/misc/policy-on-dogs-2025.pdf</w:t>
        </w:r>
      </w:hyperlink>
    </w:p>
    <w:bookmarkEnd w:id="112"/>
    <w:bookmarkStart w:id="114" w:name="ref-departmentofinternalaffairs1987"/>
    <w:p>
      <w:pPr>
        <w:pStyle w:val="Bibliography"/>
      </w:pPr>
      <w:r>
        <w:t xml:space="preserve">13.</w:t>
      </w:r>
      <w:r>
        <w:t xml:space="preserve"> </w:t>
      </w:r>
      <w:r>
        <w:t xml:space="preserve">	</w:t>
      </w:r>
      <w:r>
        <w:t xml:space="preserve">Department of Internal Affairs. Local government official information and meetings act 1987. Published online 1987.</w:t>
      </w:r>
      <w:r>
        <w:t xml:space="preserve"> </w:t>
      </w:r>
      <w:hyperlink r:id="rId113">
        <w:r>
          <w:rPr>
            <w:rStyle w:val="Hyperlink"/>
          </w:rPr>
          <w:t xml:space="preserve">https://www.legislation.govt.nz</w:t>
        </w:r>
      </w:hyperlink>
    </w:p>
    <w:bookmarkEnd w:id="114"/>
    <w:bookmarkStart w:id="116" w:name="ref-saunders2026"/>
    <w:p>
      <w:pPr>
        <w:pStyle w:val="Bibliography"/>
      </w:pPr>
      <w:r>
        <w:t xml:space="preserve">14.</w:t>
      </w:r>
      <w:r>
        <w:t xml:space="preserve"> </w:t>
      </w:r>
      <w:r>
        <w:t xml:space="preserve">	</w:t>
      </w:r>
      <w:r>
        <w:t xml:space="preserve">Saunders TE. Akldogs: Dog control data from auckland council. Published online March 12, 2026.</w:t>
      </w:r>
      <w:r>
        <w:t xml:space="preserve"> </w:t>
      </w:r>
      <w:hyperlink r:id="rId115">
        <w:r>
          <w:rPr>
            <w:rStyle w:val="Hyperlink"/>
          </w:rPr>
          <w:t xml:space="preserve">https://tesaunders.github.io/akldogs/</w:t>
        </w:r>
      </w:hyperlink>
    </w:p>
    <w:bookmarkEnd w:id="116"/>
    <w:bookmarkStart w:id="118" w:name="ref-anonymous2026a"/>
    <w:p>
      <w:pPr>
        <w:pStyle w:val="Bibliography"/>
      </w:pPr>
      <w:r>
        <w:t xml:space="preserve">15.</w:t>
      </w:r>
      <w:r>
        <w:t xml:space="preserve"> </w:t>
      </w:r>
      <w:r>
        <w:t xml:space="preserve">	</w:t>
      </w:r>
      <w:r>
        <w:t xml:space="preserve">Anonymous. Government orders review of dog control act. Published online March 21, 2026.</w:t>
      </w:r>
      <w:r>
        <w:t xml:space="preserve"> </w:t>
      </w:r>
      <w:hyperlink r:id="rId117">
        <w:r>
          <w:rPr>
            <w:rStyle w:val="Hyperlink"/>
          </w:rPr>
          <w:t xml:space="preserve">https://www.beehive.govt.nz/release/government-orders-review-dog-control-act</w:t>
        </w:r>
      </w:hyperlink>
    </w:p>
    <w:bookmarkEnd w:id="118"/>
    <w:bookmarkStart w:id="120" w:name="ref-newzealandveterinaryassociation2019"/>
    <w:p>
      <w:pPr>
        <w:pStyle w:val="Bibliography"/>
      </w:pPr>
      <w:r>
        <w:t xml:space="preserve">16.</w:t>
      </w:r>
      <w:r>
        <w:t xml:space="preserve"> </w:t>
      </w:r>
      <w:r>
        <w:t xml:space="preserve">	</w:t>
      </w:r>
      <w:r>
        <w:t xml:space="preserve">New Zealand Veterinary Association. Position statement: Safe dogs. Published online November 2019.</w:t>
      </w:r>
      <w:r>
        <w:t xml:space="preserve"> </w:t>
      </w:r>
      <w:hyperlink r:id="rId119">
        <w:r>
          <w:rPr>
            <w:rStyle w:val="Hyperlink"/>
          </w:rPr>
          <w:t xml:space="preserve">https://nzva.org.nz/positions-advocacy/position-statements/safe-dogs/</w:t>
        </w:r>
      </w:hyperlink>
    </w:p>
    <w:bookmarkEnd w:id="120"/>
    <w:bookmarkStart w:id="122" w:name="ref-newzealandspca"/>
    <w:p>
      <w:pPr>
        <w:pStyle w:val="Bibliography"/>
      </w:pPr>
      <w:r>
        <w:t xml:space="preserve">17.</w:t>
      </w:r>
      <w:r>
        <w:t xml:space="preserve"> </w:t>
      </w:r>
      <w:r>
        <w:t xml:space="preserve">	</w:t>
      </w:r>
      <w:r>
        <w:t xml:space="preserve">New Zealand SPCA. Position statement: Dog safety.</w:t>
      </w:r>
      <w:r>
        <w:t xml:space="preserve"> </w:t>
      </w:r>
      <w:hyperlink r:id="rId121">
        <w:r>
          <w:rPr>
            <w:rStyle w:val="Hyperlink"/>
          </w:rPr>
          <w:t xml:space="preserve">https://www.spca.nz/advocacy/position-statements/article/dog-safety</w:t>
        </w:r>
      </w:hyperlink>
    </w:p>
    <w:bookmarkEnd w:id="122"/>
    <w:bookmarkStart w:id="124" w:name="ref-newzealandspcaa"/>
    <w:p>
      <w:pPr>
        <w:pStyle w:val="Bibliography"/>
      </w:pPr>
      <w:r>
        <w:t xml:space="preserve">18.</w:t>
      </w:r>
      <w:r>
        <w:t xml:space="preserve"> </w:t>
      </w:r>
      <w:r>
        <w:t xml:space="preserve">	</w:t>
      </w:r>
      <w:r>
        <w:t xml:space="preserve">New Zealand SPCA. Position statement: Breed specific legislation.</w:t>
      </w:r>
      <w:r>
        <w:t xml:space="preserve"> </w:t>
      </w:r>
      <w:hyperlink r:id="rId123">
        <w:r>
          <w:rPr>
            <w:rStyle w:val="Hyperlink"/>
          </w:rPr>
          <w:t xml:space="preserve">https://www.spca.nz/advocacy/position-statements/article/breed-specific-legislation-bsl</w:t>
        </w:r>
      </w:hyperlink>
    </w:p>
    <w:bookmarkEnd w:id="124"/>
    <w:bookmarkStart w:id="126" w:name="ref-thepaediatricsocietyofnewzealand2023"/>
    <w:p>
      <w:pPr>
        <w:pStyle w:val="Bibliography"/>
      </w:pPr>
      <w:r>
        <w:t xml:space="preserve">19.</w:t>
      </w:r>
      <w:r>
        <w:t xml:space="preserve"> </w:t>
      </w:r>
      <w:r>
        <w:t xml:space="preserve">	</w:t>
      </w:r>
      <w:r>
        <w:t xml:space="preserve">The Paediatric Society of New Zealand. Media release: High number of dog attacks concerns child health experts. Published online March 20, 2023.</w:t>
      </w:r>
      <w:r>
        <w:t xml:space="preserve"> </w:t>
      </w:r>
      <w:hyperlink r:id="rId125">
        <w:r>
          <w:rPr>
            <w:rStyle w:val="Hyperlink"/>
          </w:rPr>
          <w:t xml:space="preserve">https://www.paediatrics.org.nz/knowledge-hub/view-resource?id=25</w:t>
        </w:r>
      </w:hyperlink>
    </w:p>
    <w:bookmarkEnd w:id="126"/>
    <w:bookmarkStart w:id="127" w:name="ref-duncan-sutherland2022"/>
    <w:p>
      <w:pPr>
        <w:pStyle w:val="Bibliography"/>
      </w:pPr>
      <w:r>
        <w:t xml:space="preserve">20.</w:t>
      </w:r>
      <w:r>
        <w:t xml:space="preserve"> </w:t>
      </w:r>
      <w:r>
        <w:t xml:space="preserve">	</w:t>
      </w:r>
      <w:r>
        <w:t xml:space="preserve">Duncan-Sutherland N, Cunningham C, Cooper S, Boys S. An audit of dog-related injury notification practices in a new zealand public hospital.</w:t>
      </w:r>
      <w:r>
        <w:t xml:space="preserve"> </w:t>
      </w:r>
      <w:r>
        <w:rPr>
          <w:i/>
          <w:iCs/>
        </w:rPr>
        <w:t xml:space="preserve">New Zealand Medical Journal</w:t>
      </w:r>
      <w:r>
        <w:t xml:space="preserve">. Published online 2022.</w:t>
      </w:r>
    </w:p>
    <w:bookmarkEnd w:id="127"/>
    <w:bookmarkStart w:id="129" w:name="ref-duncan-sutherland2023"/>
    <w:p>
      <w:pPr>
        <w:pStyle w:val="Bibliography"/>
      </w:pPr>
      <w:r>
        <w:t xml:space="preserve">21.</w:t>
      </w:r>
      <w:r>
        <w:t xml:space="preserve"> </w:t>
      </w:r>
      <w:r>
        <w:t xml:space="preserve">	</w:t>
      </w:r>
      <w:r>
        <w:t xml:space="preserve">Duncan-Sutherland N, Hunt M, Alatini M, Shepherd M, Kool B. Study of dog control strategies.</w:t>
      </w:r>
      <w:r>
        <w:t xml:space="preserve"> </w:t>
      </w:r>
      <w:r>
        <w:rPr>
          <w:i/>
          <w:iCs/>
        </w:rPr>
        <w:t xml:space="preserve">Injury Prevention</w:t>
      </w:r>
      <w:r>
        <w:t xml:space="preserve">. 2023;29(3):219-226. doi:</w:t>
      </w:r>
      <w:hyperlink r:id="rId128">
        <w:r>
          <w:rPr>
            <w:rStyle w:val="Hyperlink"/>
          </w:rPr>
          <w:t xml:space="preserve">10.1136/ip-2022-044686</w:t>
        </w:r>
      </w:hyperlink>
    </w:p>
    <w:bookmarkEnd w:id="129"/>
    <w:bookmarkStart w:id="131" w:name="ref-smith2019"/>
    <w:p>
      <w:pPr>
        <w:pStyle w:val="Bibliography"/>
      </w:pPr>
      <w:r>
        <w:t xml:space="preserve">22.</w:t>
      </w:r>
      <w:r>
        <w:t xml:space="preserve"> </w:t>
      </w:r>
      <w:r>
        <w:t xml:space="preserve">	</w:t>
      </w:r>
      <w:r>
        <w:t xml:space="preserve">Smith LM, Hartmann S, Munteanu AM, Dalla Villa P, Quinnell RJ, Collins LM. The effectiveness of dog population management: A systematic review.</w:t>
      </w:r>
      <w:r>
        <w:t xml:space="preserve"> </w:t>
      </w:r>
      <w:r>
        <w:rPr>
          <w:i/>
          <w:iCs/>
        </w:rPr>
        <w:t xml:space="preserve">Animals</w:t>
      </w:r>
      <w:r>
        <w:t xml:space="preserve">. 2019;9(12):1020. doi:</w:t>
      </w:r>
      <w:hyperlink r:id="rId130">
        <w:r>
          <w:rPr>
            <w:rStyle w:val="Hyperlink"/>
          </w:rPr>
          <w:t xml:space="preserve">10.3390/ani9121020</w:t>
        </w:r>
      </w:hyperlink>
    </w:p>
    <w:bookmarkEnd w:id="131"/>
    <w:bookmarkStart w:id="133" w:name="ref-duncan-sutherland2024"/>
    <w:p>
      <w:pPr>
        <w:pStyle w:val="Bibliography"/>
      </w:pPr>
      <w:r>
        <w:t xml:space="preserve">23.</w:t>
      </w:r>
      <w:r>
        <w:t xml:space="preserve"> </w:t>
      </w:r>
      <w:r>
        <w:t xml:space="preserve">	</w:t>
      </w:r>
      <w:r>
        <w:t xml:space="preserve">Duncan-Sutherland N. Dog-related injuries: Notification, safeguarding and bite management. Published online December 3, 2024.</w:t>
      </w:r>
      <w:r>
        <w:t xml:space="preserve"> </w:t>
      </w:r>
      <w:hyperlink r:id="rId132">
        <w:r>
          <w:rPr>
            <w:rStyle w:val="Hyperlink"/>
          </w:rPr>
          <w:t xml:space="preserve">https://starship.org.nz/guidelines/dog-related-injuries-notification-safeguarding-and-bite-management/</w:t>
        </w:r>
      </w:hyperlink>
    </w:p>
    <w:bookmarkEnd w:id="133"/>
    <w:bookmarkEnd w:id="134"/>
    <w:bookmarkEnd w:id="1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18" Target="media/rId18.png" /><Relationship Type="http://schemas.openxmlformats.org/officeDocument/2006/relationships/image" Id="rId83" Target="media/rId83.png" /><Relationship Type="http://schemas.openxmlformats.org/officeDocument/2006/relationships/image" Id="rId33" Target="media/rId33.png" /><Relationship Type="http://schemas.openxmlformats.org/officeDocument/2006/relationships/image" Id="rId28" Target="media/rId28.png" /><Relationship Type="http://schemas.openxmlformats.org/officeDocument/2006/relationships/image" Id="rId63" Target="media/rId63.png" /><Relationship Type="http://schemas.openxmlformats.org/officeDocument/2006/relationships/image" Id="rId48" Target="media/rId48.png" /><Relationship Type="http://schemas.openxmlformats.org/officeDocument/2006/relationships/image" Id="rId39" Target="media/rId39.png" /><Relationship Type="http://schemas.openxmlformats.org/officeDocument/2006/relationships/image" Id="rId68" Target="media/rId68.png" /><Relationship Type="http://schemas.openxmlformats.org/officeDocument/2006/relationships/image" Id="rId58" Target="media/rId58.png" /><Relationship Type="http://schemas.openxmlformats.org/officeDocument/2006/relationships/image" Id="rId53" Target="media/rId53.png" /><Relationship Type="http://schemas.openxmlformats.org/officeDocument/2006/relationships/image" Id="rId78" Target="media/rId78.png" /><Relationship Type="http://schemas.openxmlformats.org/officeDocument/2006/relationships/image" Id="rId73" Target="media/rId73.png" /><Relationship Type="http://schemas.openxmlformats.org/officeDocument/2006/relationships/hyperlink" Id="rId11" Target="./data" TargetMode="External" /><Relationship Type="http://schemas.openxmlformats.org/officeDocument/2006/relationships/hyperlink" Id="rId128" Target="https://doi.org/10.1136/ip-2022-044686" TargetMode="External" /><Relationship Type="http://schemas.openxmlformats.org/officeDocument/2006/relationships/hyperlink" Id="rId130" Target="https://doi.org/10.3390/ani9121020" TargetMode="External" /><Relationship Type="http://schemas.openxmlformats.org/officeDocument/2006/relationships/hyperlink" Id="rId10" Target="https://github.com/tesaunders/akldogs/tree/main/data-raw" TargetMode="External" /><Relationship Type="http://schemas.openxmlformats.org/officeDocument/2006/relationships/hyperlink" Id="rId119" Target="https://nzva.org.nz/positions-advocacy/position-statements/safe-dogs/" TargetMode="External" /><Relationship Type="http://schemas.openxmlformats.org/officeDocument/2006/relationships/hyperlink" Id="rId104" Target="https://pmn.co.nz/read/news/i-m-so-scared-crack-down-on-roaming-dogs-as-residents-live-in-fear" TargetMode="External" /><Relationship Type="http://schemas.openxmlformats.org/officeDocument/2006/relationships/hyperlink" Id="rId132" Target="https://starship.org.nz/guidelines/dog-related-injuries-notification-safeguarding-and-bite-management/" TargetMode="External" /><Relationship Type="http://schemas.openxmlformats.org/officeDocument/2006/relationships/hyperlink" Id="rId115" Target="https://tesaunders.github.io/akldogs/" TargetMode="External" /><Relationship Type="http://schemas.openxmlformats.org/officeDocument/2006/relationships/hyperlink" Id="rId22" Target="https://tesaunders.github.io/dog-control/notebooks/data-analysis-preview.html#cell-attacks-plot" TargetMode="External" /><Relationship Type="http://schemas.openxmlformats.org/officeDocument/2006/relationships/hyperlink" Id="rId87" Target="https://tesaunders.github.io/dog-control/notebooks/data-analysis-preview.html#cell-euth-board" TargetMode="External" /><Relationship Type="http://schemas.openxmlformats.org/officeDocument/2006/relationships/hyperlink" Id="rId37" Target="https://tesaunders.github.io/dog-control/notebooks/data-analysis-preview.html#cell-euth-breed" TargetMode="External" /><Relationship Type="http://schemas.openxmlformats.org/officeDocument/2006/relationships/hyperlink" Id="rId32" Target="https://tesaunders.github.io/dog-control/notebooks/data-analysis-preview.html#cell-impound-outcome" TargetMode="External" /><Relationship Type="http://schemas.openxmlformats.org/officeDocument/2006/relationships/hyperlink" Id="rId67" Target="https://tesaunders.github.io/dog-control/notebooks/data-analysis-preview.html#cell-region-breeds" TargetMode="External" /><Relationship Type="http://schemas.openxmlformats.org/officeDocument/2006/relationships/hyperlink" Id="rId52" Target="https://tesaunders.github.io/dog-control/notebooks/data-analysis-preview.html#cell-spearman" TargetMode="External" /><Relationship Type="http://schemas.openxmlformats.org/officeDocument/2006/relationships/hyperlink" Id="rId47" Target="https://tesaunders.github.io/dog-control/notebooks/data-analysis-preview.html#cell-tbl-board-pop" TargetMode="External" /><Relationship Type="http://schemas.openxmlformats.org/officeDocument/2006/relationships/hyperlink" Id="rId25" Target="https://tesaunders.github.io/dog-control/notebooks/data-analysis-preview.html#cell-tbl-impound-rate" TargetMode="External" /><Relationship Type="http://schemas.openxmlformats.org/officeDocument/2006/relationships/hyperlink" Id="rId27" Target="https://tesaunders.github.io/dog-control/notebooks/data-analysis-preview.html#cell-tbl-impounds-breed" TargetMode="External" /><Relationship Type="http://schemas.openxmlformats.org/officeDocument/2006/relationships/hyperlink" Id="rId14" Target="https://tesaunders.github.io/dog-control/notebooks/data-analysis-preview.html#cell-tbl-ownership" TargetMode="External" /><Relationship Type="http://schemas.openxmlformats.org/officeDocument/2006/relationships/hyperlink" Id="rId45" Target="https://tesaunders.github.io/dog-control/notebooks/data-analysis-preview.html#cell-tbl-region-pop" TargetMode="External" /><Relationship Type="http://schemas.openxmlformats.org/officeDocument/2006/relationships/hyperlink" Id="rId16" Target="https://tesaunders.github.io/dog-control/notebooks/data-analysis-preview.html#cell-tbl-top-breeds" TargetMode="External" /><Relationship Type="http://schemas.openxmlformats.org/officeDocument/2006/relationships/hyperlink" Id="rId43" Target="https://tesaunders.github.io/dog-control/notebooks/mapping-preview.html#cell-fig-regions-boards" TargetMode="External" /><Relationship Type="http://schemas.openxmlformats.org/officeDocument/2006/relationships/hyperlink" Id="rId72" Target="https://tesaunders.github.io/dog-control/notebooks/mapping-preview.html#cell-map-attacks" TargetMode="External" /><Relationship Type="http://schemas.openxmlformats.org/officeDocument/2006/relationships/hyperlink" Id="rId62" Target="https://tesaunders.github.io/dog-control/notebooks/mapping-preview.html#cell-map-class" TargetMode="External" /><Relationship Type="http://schemas.openxmlformats.org/officeDocument/2006/relationships/hyperlink" Id="rId57" Target="https://tesaunders.github.io/dog-control/notebooks/mapping-preview.html#cell-map-desex" TargetMode="External" /><Relationship Type="http://schemas.openxmlformats.org/officeDocument/2006/relationships/hyperlink" Id="rId82" Target="https://tesaunders.github.io/dog-control/notebooks/mapping-preview.html#cell-map-euth" TargetMode="External" /><Relationship Type="http://schemas.openxmlformats.org/officeDocument/2006/relationships/hyperlink" Id="rId77" Target="https://tesaunders.github.io/dog-control/notebooks/mapping-preview.html#cell-map-impounds" TargetMode="External" /><Relationship Type="http://schemas.openxmlformats.org/officeDocument/2006/relationships/hyperlink" Id="rId111" Target="https://www.aucklandcouncil.govt.nz/content/dam/ac/docs/plans-projects-policies-reports-bylaws/misc/policy-on-dogs-2025.pdf" TargetMode="External" /><Relationship Type="http://schemas.openxmlformats.org/officeDocument/2006/relationships/hyperlink" Id="rId117" Target="https://www.beehive.govt.nz/release/government-orders-review-dog-control-act" TargetMode="External" /><Relationship Type="http://schemas.openxmlformats.org/officeDocument/2006/relationships/hyperlink" Id="rId113" Target="https://www.legislation.govt.nz" TargetMode="External" /><Relationship Type="http://schemas.openxmlformats.org/officeDocument/2006/relationships/hyperlink" Id="rId108" Target="https://www.legislation.govt.nz/act/public/1996/0013/latest/whole.html#DLM374410" TargetMode="External" /><Relationship Type="http://schemas.openxmlformats.org/officeDocument/2006/relationships/hyperlink" Id="rId125" Target="https://www.paediatrics.org.nz/knowledge-hub/view-resource?id=25" TargetMode="External" /><Relationship Type="http://schemas.openxmlformats.org/officeDocument/2006/relationships/hyperlink" Id="rId98" Target="https://www.rnz.co.nz/news/country/475078/killer-dogs-driving-northland-farmers-from-owning-sheep" TargetMode="External" /><Relationship Type="http://schemas.openxmlformats.org/officeDocument/2006/relationships/hyperlink" Id="rId92" Target="https://www.rnz.co.nz/news/national/500293/well-known-and-loved-northland-woman-to-be-farewelled-after-fatal-dog-attack" TargetMode="External" /><Relationship Type="http://schemas.openxmlformats.org/officeDocument/2006/relationships/hyperlink" Id="rId100" Target="https://www.rnz.co.nz/news/national/513774/roaming-dogs-kill-up-to-30-cats-in-one-suburb-as-residents-live-in-fear" TargetMode="External" /><Relationship Type="http://schemas.openxmlformats.org/officeDocument/2006/relationships/hyperlink" Id="rId90" Target="https://www.rnz.co.nz/news/national/571133/far-north-man-abel-wira-found-guilty-of-manslaughter-after-dogs-maul-neville-thomson-to-death" TargetMode="External" /><Relationship Type="http://schemas.openxmlformats.org/officeDocument/2006/relationships/hyperlink" Id="rId102" Target="https://www.rnz.co.nz/news/national/581994/attacks-on-guide-dogs-leave-animals-too-anxious-to-work" TargetMode="External" /><Relationship Type="http://schemas.openxmlformats.org/officeDocument/2006/relationships/hyperlink" Id="rId96" Target="https://www.rnz.co.nz/news/national/587195/woman-killed-by-dogs-in-kaihu-named-as-mihiata-te-rore" TargetMode="External" /><Relationship Type="http://schemas.openxmlformats.org/officeDocument/2006/relationships/hyperlink" Id="rId94" Target="https://www.rnz.co.nz/news/national/589066/woman-charged-after-dog-kills-4-year-old" TargetMode="External" /><Relationship Type="http://schemas.openxmlformats.org/officeDocument/2006/relationships/hyperlink" Id="rId123" Target="https://www.spca.nz/advocacy/position-statements/article/breed-specific-legislation-bsl" TargetMode="External" /><Relationship Type="http://schemas.openxmlformats.org/officeDocument/2006/relationships/hyperlink" Id="rId121" Target="https://www.spca.nz/advocacy/position-statements/article/dog-safety" TargetMode="External" /><Relationship Type="http://schemas.openxmlformats.org/officeDocument/2006/relationships/hyperlink" Id="rId106" Target="https://www.stuff.co.nz/nz-news/360818146/causing-truancy-children-too-afraid-walk-school-because-dangerous-dogs" TargetMode="External" /></Relationships>
</file>

<file path=word/_rels/footnotes.xml.rels><?xml version="1.0" encoding="UTF-8"?><Relationships xmlns="http://schemas.openxmlformats.org/package/2006/relationships"><Relationship Type="http://schemas.openxmlformats.org/officeDocument/2006/relationships/hyperlink" Id="rId11" Target="./data" TargetMode="External" /><Relationship Type="http://schemas.openxmlformats.org/officeDocument/2006/relationships/hyperlink" Id="rId128" Target="https://doi.org/10.1136/ip-2022-044686" TargetMode="External" /><Relationship Type="http://schemas.openxmlformats.org/officeDocument/2006/relationships/hyperlink" Id="rId130" Target="https://doi.org/10.3390/ani9121020" TargetMode="External" /><Relationship Type="http://schemas.openxmlformats.org/officeDocument/2006/relationships/hyperlink" Id="rId10" Target="https://github.com/tesaunders/akldogs/tree/main/data-raw" TargetMode="External" /><Relationship Type="http://schemas.openxmlformats.org/officeDocument/2006/relationships/hyperlink" Id="rId119" Target="https://nzva.org.nz/positions-advocacy/position-statements/safe-dogs/" TargetMode="External" /><Relationship Type="http://schemas.openxmlformats.org/officeDocument/2006/relationships/hyperlink" Id="rId104" Target="https://pmn.co.nz/read/news/i-m-so-scared-crack-down-on-roaming-dogs-as-residents-live-in-fear" TargetMode="External" /><Relationship Type="http://schemas.openxmlformats.org/officeDocument/2006/relationships/hyperlink" Id="rId132" Target="https://starship.org.nz/guidelines/dog-related-injuries-notification-safeguarding-and-bite-management/" TargetMode="External" /><Relationship Type="http://schemas.openxmlformats.org/officeDocument/2006/relationships/hyperlink" Id="rId115" Target="https://tesaunders.github.io/akldogs/" TargetMode="External" /><Relationship Type="http://schemas.openxmlformats.org/officeDocument/2006/relationships/hyperlink" Id="rId22" Target="https://tesaunders.github.io/dog-control/notebooks/data-analysis-preview.html#cell-attacks-plot" TargetMode="External" /><Relationship Type="http://schemas.openxmlformats.org/officeDocument/2006/relationships/hyperlink" Id="rId87" Target="https://tesaunders.github.io/dog-control/notebooks/data-analysis-preview.html#cell-euth-board" TargetMode="External" /><Relationship Type="http://schemas.openxmlformats.org/officeDocument/2006/relationships/hyperlink" Id="rId37" Target="https://tesaunders.github.io/dog-control/notebooks/data-analysis-preview.html#cell-euth-breed" TargetMode="External" /><Relationship Type="http://schemas.openxmlformats.org/officeDocument/2006/relationships/hyperlink" Id="rId32" Target="https://tesaunders.github.io/dog-control/notebooks/data-analysis-preview.html#cell-impound-outcome" TargetMode="External" /><Relationship Type="http://schemas.openxmlformats.org/officeDocument/2006/relationships/hyperlink" Id="rId67" Target="https://tesaunders.github.io/dog-control/notebooks/data-analysis-preview.html#cell-region-breeds" TargetMode="External" /><Relationship Type="http://schemas.openxmlformats.org/officeDocument/2006/relationships/hyperlink" Id="rId52" Target="https://tesaunders.github.io/dog-control/notebooks/data-analysis-preview.html#cell-spearman" TargetMode="External" /><Relationship Type="http://schemas.openxmlformats.org/officeDocument/2006/relationships/hyperlink" Id="rId47" Target="https://tesaunders.github.io/dog-control/notebooks/data-analysis-preview.html#cell-tbl-board-pop" TargetMode="External" /><Relationship Type="http://schemas.openxmlformats.org/officeDocument/2006/relationships/hyperlink" Id="rId25" Target="https://tesaunders.github.io/dog-control/notebooks/data-analysis-preview.html#cell-tbl-impound-rate" TargetMode="External" /><Relationship Type="http://schemas.openxmlformats.org/officeDocument/2006/relationships/hyperlink" Id="rId27" Target="https://tesaunders.github.io/dog-control/notebooks/data-analysis-preview.html#cell-tbl-impounds-breed" TargetMode="External" /><Relationship Type="http://schemas.openxmlformats.org/officeDocument/2006/relationships/hyperlink" Id="rId14" Target="https://tesaunders.github.io/dog-control/notebooks/data-analysis-preview.html#cell-tbl-ownership" TargetMode="External" /><Relationship Type="http://schemas.openxmlformats.org/officeDocument/2006/relationships/hyperlink" Id="rId45" Target="https://tesaunders.github.io/dog-control/notebooks/data-analysis-preview.html#cell-tbl-region-pop" TargetMode="External" /><Relationship Type="http://schemas.openxmlformats.org/officeDocument/2006/relationships/hyperlink" Id="rId16" Target="https://tesaunders.github.io/dog-control/notebooks/data-analysis-preview.html#cell-tbl-top-breeds" TargetMode="External" /><Relationship Type="http://schemas.openxmlformats.org/officeDocument/2006/relationships/hyperlink" Id="rId43" Target="https://tesaunders.github.io/dog-control/notebooks/mapping-preview.html#cell-fig-regions-boards" TargetMode="External" /><Relationship Type="http://schemas.openxmlformats.org/officeDocument/2006/relationships/hyperlink" Id="rId72" Target="https://tesaunders.github.io/dog-control/notebooks/mapping-preview.html#cell-map-attacks" TargetMode="External" /><Relationship Type="http://schemas.openxmlformats.org/officeDocument/2006/relationships/hyperlink" Id="rId62" Target="https://tesaunders.github.io/dog-control/notebooks/mapping-preview.html#cell-map-class" TargetMode="External" /><Relationship Type="http://schemas.openxmlformats.org/officeDocument/2006/relationships/hyperlink" Id="rId57" Target="https://tesaunders.github.io/dog-control/notebooks/mapping-preview.html#cell-map-desex" TargetMode="External" /><Relationship Type="http://schemas.openxmlformats.org/officeDocument/2006/relationships/hyperlink" Id="rId82" Target="https://tesaunders.github.io/dog-control/notebooks/mapping-preview.html#cell-map-euth" TargetMode="External" /><Relationship Type="http://schemas.openxmlformats.org/officeDocument/2006/relationships/hyperlink" Id="rId77" Target="https://tesaunders.github.io/dog-control/notebooks/mapping-preview.html#cell-map-impounds" TargetMode="External" /><Relationship Type="http://schemas.openxmlformats.org/officeDocument/2006/relationships/hyperlink" Id="rId111" Target="https://www.aucklandcouncil.govt.nz/content/dam/ac/docs/plans-projects-policies-reports-bylaws/misc/policy-on-dogs-2025.pdf" TargetMode="External" /><Relationship Type="http://schemas.openxmlformats.org/officeDocument/2006/relationships/hyperlink" Id="rId117" Target="https://www.beehive.govt.nz/release/government-orders-review-dog-control-act" TargetMode="External" /><Relationship Type="http://schemas.openxmlformats.org/officeDocument/2006/relationships/hyperlink" Id="rId113" Target="https://www.legislation.govt.nz" TargetMode="External" /><Relationship Type="http://schemas.openxmlformats.org/officeDocument/2006/relationships/hyperlink" Id="rId108" Target="https://www.legislation.govt.nz/act/public/1996/0013/latest/whole.html#DLM374410" TargetMode="External" /><Relationship Type="http://schemas.openxmlformats.org/officeDocument/2006/relationships/hyperlink" Id="rId125" Target="https://www.paediatrics.org.nz/knowledge-hub/view-resource?id=25" TargetMode="External" /><Relationship Type="http://schemas.openxmlformats.org/officeDocument/2006/relationships/hyperlink" Id="rId98" Target="https://www.rnz.co.nz/news/country/475078/killer-dogs-driving-northland-farmers-from-owning-sheep" TargetMode="External" /><Relationship Type="http://schemas.openxmlformats.org/officeDocument/2006/relationships/hyperlink" Id="rId92" Target="https://www.rnz.co.nz/news/national/500293/well-known-and-loved-northland-woman-to-be-farewelled-after-fatal-dog-attack" TargetMode="External" /><Relationship Type="http://schemas.openxmlformats.org/officeDocument/2006/relationships/hyperlink" Id="rId100" Target="https://www.rnz.co.nz/news/national/513774/roaming-dogs-kill-up-to-30-cats-in-one-suburb-as-residents-live-in-fear" TargetMode="External" /><Relationship Type="http://schemas.openxmlformats.org/officeDocument/2006/relationships/hyperlink" Id="rId90" Target="https://www.rnz.co.nz/news/national/571133/far-north-man-abel-wira-found-guilty-of-manslaughter-after-dogs-maul-neville-thomson-to-death" TargetMode="External" /><Relationship Type="http://schemas.openxmlformats.org/officeDocument/2006/relationships/hyperlink" Id="rId102" Target="https://www.rnz.co.nz/news/national/581994/attacks-on-guide-dogs-leave-animals-too-anxious-to-work" TargetMode="External" /><Relationship Type="http://schemas.openxmlformats.org/officeDocument/2006/relationships/hyperlink" Id="rId96" Target="https://www.rnz.co.nz/news/national/587195/woman-killed-by-dogs-in-kaihu-named-as-mihiata-te-rore" TargetMode="External" /><Relationship Type="http://schemas.openxmlformats.org/officeDocument/2006/relationships/hyperlink" Id="rId94" Target="https://www.rnz.co.nz/news/national/589066/woman-charged-after-dog-kills-4-year-old" TargetMode="External" /><Relationship Type="http://schemas.openxmlformats.org/officeDocument/2006/relationships/hyperlink" Id="rId123" Target="https://www.spca.nz/advocacy/position-statements/article/breed-specific-legislation-bsl" TargetMode="External" /><Relationship Type="http://schemas.openxmlformats.org/officeDocument/2006/relationships/hyperlink" Id="rId121" Target="https://www.spca.nz/advocacy/position-statements/article/dog-safety" TargetMode="External" /><Relationship Type="http://schemas.openxmlformats.org/officeDocument/2006/relationships/hyperlink" Id="rId106" Target="https://www.stuff.co.nz/nz-news/360818146/causing-truancy-children-too-afraid-walk-school-because-dangerous-dog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Decade of Decline: Confronting Auckland’s Dog Control Crisis Using Auckland Council Data</dc:title>
  <dc:creator>Thomas E. Saunders</dc:creator>
  <cp:keywords/>
  <dcterms:created xsi:type="dcterms:W3CDTF">2026-04-13T10:48:59Z</dcterms:created>
  <dcterms:modified xsi:type="dcterms:W3CDTF">2026-04-13T10:48:59Z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A spate of fatal dog attacks have focussed attention on New Zealand’s growing problem with roaming and aggressive dogs. Under the Dog Control Act 1996, Territorial Authorities are resposible for managing the harms associated with dogs in communities. Auckland Council’s Animal Management division publishes selected high-level statistics related to it’s dog control practices, but an examination of the underlying raw data in combination with data from it’s annual reports reveals troubling trends for some of the most important metrics. The rate of attacks, impounds, and euthanasia of impounded dogs are all increasing due to an explosion in the dog population and a stretched shelter system. Attack rates are highest in South Auckland, and several breeds are over-represented in negative statistics.</vt:lpwstr>
  </property>
  <property fmtid="{D5CDD505-2E9C-101B-9397-08002B2CF9AE}" pid="3" name="affiliations">
    <vt:lpwstr/>
  </property>
  <property fmtid="{D5CDD505-2E9C-101B-9397-08002B2CF9AE}" pid="4" name="authors">
    <vt:lpwstr/>
  </property>
  <property fmtid="{D5CDD505-2E9C-101B-9397-08002B2CF9AE}" pid="5" name="biblio-config">
    <vt:lpwstr>True</vt:lpwstr>
  </property>
  <property fmtid="{D5CDD505-2E9C-101B-9397-08002B2CF9AE}" pid="6" name="bibliography">
    <vt:lpwstr>references.bib</vt:lpwstr>
  </property>
  <property fmtid="{D5CDD505-2E9C-101B-9397-08002B2CF9AE}" pid="7" name="by-affiliation">
    <vt:lpwstr/>
  </property>
  <property fmtid="{D5CDD505-2E9C-101B-9397-08002B2CF9AE}" pid="8" name="by-author">
    <vt:lpwstr/>
  </property>
  <property fmtid="{D5CDD505-2E9C-101B-9397-08002B2CF9AE}" pid="9" name="clear-hidden-classes">
    <vt:lpwstr>none</vt:lpwstr>
  </property>
  <property fmtid="{D5CDD505-2E9C-101B-9397-08002B2CF9AE}" pid="10" name="csl">
    <vt:lpwstr>ama.csl</vt:lpwstr>
  </property>
  <property fmtid="{D5CDD505-2E9C-101B-9397-08002B2CF9AE}" pid="11" name="date">
    <vt:lpwstr>2026-04-13</vt:lpwstr>
  </property>
  <property fmtid="{D5CDD505-2E9C-101B-9397-08002B2CF9AE}" pid="12" name="engines">
    <vt:lpwstr/>
  </property>
  <property fmtid="{D5CDD505-2E9C-101B-9397-08002B2CF9AE}" pid="13" name="google-scholar">
    <vt:lpwstr>True</vt:lpwstr>
  </property>
  <property fmtid="{D5CDD505-2E9C-101B-9397-08002B2CF9AE}" pid="14" name="header-includes">
    <vt:lpwstr/>
  </property>
  <property fmtid="{D5CDD505-2E9C-101B-9397-08002B2CF9AE}" pid="15" name="include-after">
    <vt:lpwstr/>
  </property>
  <property fmtid="{D5CDD505-2E9C-101B-9397-08002B2CF9AE}" pid="16" name="include-before">
    <vt:lpwstr/>
  </property>
  <property fmtid="{D5CDD505-2E9C-101B-9397-08002B2CF9AE}" pid="17" name="labels">
    <vt:lpwstr/>
  </property>
  <property fmtid="{D5CDD505-2E9C-101B-9397-08002B2CF9AE}" pid="18" name="lightbox">
    <vt:lpwstr>auto</vt:lpwstr>
  </property>
  <property fmtid="{D5CDD505-2E9C-101B-9397-08002B2CF9AE}" pid="19" name="manuscript">
    <vt:lpwstr/>
  </property>
  <property fmtid="{D5CDD505-2E9C-101B-9397-08002B2CF9AE}" pid="20" name="notebook-preview-options">
    <vt:lpwstr/>
  </property>
  <property fmtid="{D5CDD505-2E9C-101B-9397-08002B2CF9AE}" pid="21" name="quarto-internal">
    <vt:lpwstr/>
  </property>
  <property fmtid="{D5CDD505-2E9C-101B-9397-08002B2CF9AE}" pid="22" name="remove-hidden">
    <vt:lpwstr>all</vt:lpwstr>
  </property>
  <property fmtid="{D5CDD505-2E9C-101B-9397-08002B2CF9AE}" pid="23" name="template-partials">
    <vt:lpwstr/>
  </property>
  <property fmtid="{D5CDD505-2E9C-101B-9397-08002B2CF9AE}" pid="24" name="theme">
    <vt:lpwstr>cosmo</vt:lpwstr>
  </property>
  <property fmtid="{D5CDD505-2E9C-101B-9397-08002B2CF9AE}" pid="25" name="title-block-style">
    <vt:lpwstr>manuscript</vt:lpwstr>
  </property>
  <property fmtid="{D5CDD505-2E9C-101B-9397-08002B2CF9AE}" pid="26" name="toc-title">
    <vt:lpwstr>Table of contents</vt:lpwstr>
  </property>
  <property fmtid="{D5CDD505-2E9C-101B-9397-08002B2CF9AE}" pid="27" name="unroll-markdown-cells">
    <vt:lpwstr>True</vt:lpwstr>
  </property>
</Properties>
</file>